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41"/>
        <w:rPr>
          <w:rFonts w:ascii="Times New Roman"/>
          <w:sz w:val="20"/>
        </w:rPr>
      </w:pPr>
      <w:r>
        <w:rPr>
          <w:rFonts w:ascii="Times New Roman"/>
          <w:sz w:val="20"/>
        </w:rPr>
        <w:drawing>
          <wp:inline distT="0" distB="0" distL="0" distR="0">
            <wp:extent cx="1828828" cy="7254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28828" cy="725424"/>
                    </a:xfrm>
                    <a:prstGeom prst="rect">
                      <a:avLst/>
                    </a:prstGeom>
                  </pic:spPr>
                </pic:pic>
              </a:graphicData>
            </a:graphic>
          </wp:inline>
        </w:drawing>
      </w:r>
      <w:r>
        <w:rPr>
          <w:rFonts w:ascii="Times New Roman"/>
          <w:sz w:val="20"/>
        </w:rPr>
      </w:r>
    </w:p>
    <w:p>
      <w:pPr>
        <w:pStyle w:val="BodyText"/>
        <w:spacing w:before="10"/>
        <w:rPr>
          <w:rFonts w:ascii="Times New Roman"/>
        </w:rPr>
      </w:pPr>
    </w:p>
    <w:p>
      <w:pPr>
        <w:spacing w:before="89"/>
        <w:ind w:left="2726" w:right="2806" w:firstLine="0"/>
        <w:jc w:val="center"/>
        <w:rPr>
          <w:b/>
          <w:sz w:val="32"/>
        </w:rPr>
      </w:pPr>
      <w:r>
        <w:rPr>
          <w:b/>
          <w:sz w:val="32"/>
        </w:rPr>
        <w:t>CO-OWNER AGREEMENT</w:t>
      </w:r>
    </w:p>
    <w:p>
      <w:pPr>
        <w:spacing w:before="91"/>
        <w:ind w:left="2726" w:right="2869" w:firstLine="0"/>
        <w:jc w:val="center"/>
        <w:rPr>
          <w:b/>
          <w:sz w:val="24"/>
        </w:rPr>
      </w:pPr>
      <w:r>
        <w:rPr>
          <w:b/>
          <w:w w:val="105"/>
          <w:sz w:val="24"/>
        </w:rPr>
        <w:t>(Version 2 – effective 1 August 2018)</w:t>
      </w:r>
    </w:p>
    <w:p>
      <w:pPr>
        <w:pStyle w:val="BodyText"/>
        <w:rPr>
          <w:b/>
          <w:sz w:val="26"/>
        </w:rPr>
      </w:pPr>
    </w:p>
    <w:p>
      <w:pPr>
        <w:pStyle w:val="Heading1"/>
        <w:spacing w:before="180"/>
        <w:ind w:right="2869"/>
        <w:jc w:val="center"/>
      </w:pPr>
      <w:r>
        <w:rPr>
          <w:w w:val="105"/>
        </w:rPr>
        <w:t>INDEX</w:t>
      </w:r>
    </w:p>
    <w:p>
      <w:pPr>
        <w:pStyle w:val="BodyText"/>
        <w:rPr>
          <w:b/>
          <w:sz w:val="20"/>
        </w:rPr>
      </w:pPr>
    </w:p>
    <w:p>
      <w:pPr>
        <w:pStyle w:val="BodyText"/>
        <w:rPr>
          <w:b/>
          <w:sz w:val="20"/>
        </w:rPr>
      </w:pPr>
    </w:p>
    <w:p>
      <w:pPr>
        <w:pStyle w:val="BodyText"/>
        <w:spacing w:before="3" w:after="1"/>
        <w:rPr>
          <w:b/>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6"/>
        <w:gridCol w:w="7900"/>
        <w:gridCol w:w="771"/>
      </w:tblGrid>
      <w:tr>
        <w:trPr>
          <w:trHeight w:val="753" w:hRule="atLeast"/>
        </w:trPr>
        <w:tc>
          <w:tcPr>
            <w:tcW w:w="816" w:type="dxa"/>
          </w:tcPr>
          <w:p>
            <w:pPr>
              <w:pStyle w:val="TableParagraph"/>
              <w:rPr>
                <w:rFonts w:ascii="Times New Roman"/>
                <w:sz w:val="22"/>
              </w:rPr>
            </w:pPr>
          </w:p>
        </w:tc>
        <w:tc>
          <w:tcPr>
            <w:tcW w:w="7900" w:type="dxa"/>
          </w:tcPr>
          <w:p>
            <w:pPr>
              <w:pStyle w:val="TableParagraph"/>
              <w:rPr>
                <w:rFonts w:ascii="Times New Roman"/>
                <w:sz w:val="22"/>
              </w:rPr>
            </w:pPr>
          </w:p>
        </w:tc>
        <w:tc>
          <w:tcPr>
            <w:tcW w:w="771" w:type="dxa"/>
          </w:tcPr>
          <w:p>
            <w:pPr>
              <w:pStyle w:val="TableParagraph"/>
              <w:spacing w:line="242" w:lineRule="auto"/>
              <w:ind w:left="108" w:right="179" w:hanging="89"/>
              <w:rPr>
                <w:b/>
                <w:sz w:val="22"/>
              </w:rPr>
            </w:pPr>
            <w:r>
              <w:rPr>
                <w:b/>
                <w:w w:val="105"/>
                <w:sz w:val="22"/>
              </w:rPr>
              <w:t>Page</w:t>
            </w:r>
            <w:r>
              <w:rPr>
                <w:b/>
                <w:w w:val="104"/>
                <w:sz w:val="22"/>
              </w:rPr>
              <w:t> </w:t>
            </w:r>
            <w:r>
              <w:rPr>
                <w:b/>
                <w:w w:val="105"/>
                <w:sz w:val="22"/>
              </w:rPr>
              <w:t>No.</w:t>
            </w:r>
          </w:p>
        </w:tc>
      </w:tr>
      <w:tr>
        <w:trPr>
          <w:trHeight w:val="755" w:hRule="atLeast"/>
        </w:trPr>
        <w:tc>
          <w:tcPr>
            <w:tcW w:w="816" w:type="dxa"/>
          </w:tcPr>
          <w:p>
            <w:pPr>
              <w:pStyle w:val="TableParagraph"/>
              <w:rPr>
                <w:rFonts w:ascii="Times New Roman"/>
                <w:sz w:val="22"/>
              </w:rPr>
            </w:pPr>
          </w:p>
        </w:tc>
        <w:tc>
          <w:tcPr>
            <w:tcW w:w="7900" w:type="dxa"/>
          </w:tcPr>
          <w:p>
            <w:pPr>
              <w:pStyle w:val="TableParagraph"/>
              <w:spacing w:before="4"/>
              <w:rPr>
                <w:b/>
                <w:sz w:val="21"/>
              </w:rPr>
            </w:pPr>
          </w:p>
          <w:p>
            <w:pPr>
              <w:pStyle w:val="TableParagraph"/>
              <w:ind w:left="262"/>
              <w:rPr>
                <w:b/>
                <w:sz w:val="22"/>
              </w:rPr>
            </w:pPr>
            <w:r>
              <w:rPr>
                <w:b/>
                <w:w w:val="105"/>
                <w:sz w:val="22"/>
              </w:rPr>
              <w:t>Summary ……………………………………………………………………...</w:t>
            </w:r>
          </w:p>
        </w:tc>
        <w:tc>
          <w:tcPr>
            <w:tcW w:w="771" w:type="dxa"/>
          </w:tcPr>
          <w:p>
            <w:pPr>
              <w:pStyle w:val="TableParagraph"/>
              <w:spacing w:before="4"/>
              <w:rPr>
                <w:b/>
                <w:sz w:val="21"/>
              </w:rPr>
            </w:pPr>
          </w:p>
          <w:p>
            <w:pPr>
              <w:pStyle w:val="TableParagraph"/>
              <w:ind w:right="409"/>
              <w:jc w:val="right"/>
              <w:rPr>
                <w:b/>
                <w:sz w:val="22"/>
              </w:rPr>
            </w:pPr>
            <w:r>
              <w:rPr>
                <w:b/>
                <w:w w:val="102"/>
                <w:sz w:val="22"/>
              </w:rPr>
              <w:t>2</w:t>
            </w:r>
          </w:p>
        </w:tc>
      </w:tr>
      <w:tr>
        <w:trPr>
          <w:trHeight w:val="758" w:hRule="atLeast"/>
        </w:trPr>
        <w:tc>
          <w:tcPr>
            <w:tcW w:w="816" w:type="dxa"/>
          </w:tcPr>
          <w:p>
            <w:pPr>
              <w:pStyle w:val="TableParagraph"/>
              <w:spacing w:before="7"/>
              <w:rPr>
                <w:b/>
                <w:sz w:val="21"/>
              </w:rPr>
            </w:pPr>
          </w:p>
          <w:p>
            <w:pPr>
              <w:pStyle w:val="TableParagraph"/>
              <w:spacing w:before="1"/>
              <w:ind w:left="202"/>
              <w:rPr>
                <w:b/>
                <w:sz w:val="22"/>
              </w:rPr>
            </w:pPr>
            <w:r>
              <w:rPr>
                <w:b/>
                <w:w w:val="105"/>
                <w:sz w:val="22"/>
              </w:rPr>
              <w:t>1.</w:t>
            </w:r>
          </w:p>
        </w:tc>
        <w:tc>
          <w:tcPr>
            <w:tcW w:w="7900" w:type="dxa"/>
          </w:tcPr>
          <w:p>
            <w:pPr>
              <w:pStyle w:val="TableParagraph"/>
              <w:spacing w:before="7"/>
              <w:rPr>
                <w:b/>
                <w:sz w:val="21"/>
              </w:rPr>
            </w:pPr>
          </w:p>
          <w:p>
            <w:pPr>
              <w:pStyle w:val="TableParagraph"/>
              <w:spacing w:before="1"/>
              <w:ind w:left="298"/>
              <w:rPr>
                <w:b/>
                <w:sz w:val="22"/>
              </w:rPr>
            </w:pPr>
            <w:r>
              <w:rPr>
                <w:b/>
                <w:w w:val="105"/>
                <w:sz w:val="22"/>
              </w:rPr>
              <w:t>How this Agreement applies to you ……………………………………..</w:t>
            </w:r>
          </w:p>
        </w:tc>
        <w:tc>
          <w:tcPr>
            <w:tcW w:w="771" w:type="dxa"/>
          </w:tcPr>
          <w:p>
            <w:pPr>
              <w:pStyle w:val="TableParagraph"/>
              <w:spacing w:before="7"/>
              <w:rPr>
                <w:b/>
                <w:sz w:val="21"/>
              </w:rPr>
            </w:pPr>
          </w:p>
          <w:p>
            <w:pPr>
              <w:pStyle w:val="TableParagraph"/>
              <w:spacing w:before="1"/>
              <w:ind w:right="409"/>
              <w:jc w:val="right"/>
              <w:rPr>
                <w:b/>
                <w:sz w:val="22"/>
              </w:rPr>
            </w:pPr>
            <w:r>
              <w:rPr>
                <w:b/>
                <w:w w:val="102"/>
                <w:sz w:val="22"/>
              </w:rPr>
              <w:t>2</w:t>
            </w:r>
          </w:p>
        </w:tc>
      </w:tr>
      <w:tr>
        <w:trPr>
          <w:trHeight w:val="758" w:hRule="atLeast"/>
        </w:trPr>
        <w:tc>
          <w:tcPr>
            <w:tcW w:w="816" w:type="dxa"/>
          </w:tcPr>
          <w:p>
            <w:pPr>
              <w:pStyle w:val="TableParagraph"/>
              <w:spacing w:before="7"/>
              <w:rPr>
                <w:b/>
                <w:sz w:val="21"/>
              </w:rPr>
            </w:pPr>
          </w:p>
          <w:p>
            <w:pPr>
              <w:pStyle w:val="TableParagraph"/>
              <w:spacing w:before="1"/>
              <w:ind w:left="202"/>
              <w:rPr>
                <w:b/>
                <w:sz w:val="22"/>
              </w:rPr>
            </w:pPr>
            <w:r>
              <w:rPr>
                <w:b/>
                <w:w w:val="105"/>
                <w:sz w:val="22"/>
              </w:rPr>
              <w:t>2.</w:t>
            </w:r>
          </w:p>
        </w:tc>
        <w:tc>
          <w:tcPr>
            <w:tcW w:w="7900" w:type="dxa"/>
          </w:tcPr>
          <w:p>
            <w:pPr>
              <w:pStyle w:val="TableParagraph"/>
              <w:spacing w:before="7"/>
              <w:rPr>
                <w:b/>
                <w:sz w:val="21"/>
              </w:rPr>
            </w:pPr>
          </w:p>
          <w:p>
            <w:pPr>
              <w:pStyle w:val="TableParagraph"/>
              <w:spacing w:before="1"/>
              <w:ind w:left="298"/>
              <w:rPr>
                <w:b/>
                <w:sz w:val="22"/>
              </w:rPr>
            </w:pPr>
            <w:r>
              <w:rPr>
                <w:b/>
                <w:w w:val="105"/>
                <w:sz w:val="22"/>
              </w:rPr>
              <w:t>How decisions can be made by Co-owners ……………………………</w:t>
            </w:r>
          </w:p>
        </w:tc>
        <w:tc>
          <w:tcPr>
            <w:tcW w:w="771" w:type="dxa"/>
          </w:tcPr>
          <w:p>
            <w:pPr>
              <w:pStyle w:val="TableParagraph"/>
              <w:spacing w:before="7"/>
              <w:rPr>
                <w:b/>
                <w:sz w:val="21"/>
              </w:rPr>
            </w:pPr>
          </w:p>
          <w:p>
            <w:pPr>
              <w:pStyle w:val="TableParagraph"/>
              <w:spacing w:before="1"/>
              <w:ind w:right="409"/>
              <w:jc w:val="right"/>
              <w:rPr>
                <w:b/>
                <w:sz w:val="22"/>
              </w:rPr>
            </w:pPr>
            <w:r>
              <w:rPr>
                <w:b/>
                <w:w w:val="102"/>
                <w:sz w:val="22"/>
              </w:rPr>
              <w:t>3</w:t>
            </w:r>
          </w:p>
        </w:tc>
      </w:tr>
      <w:tr>
        <w:trPr>
          <w:trHeight w:val="759" w:hRule="atLeast"/>
        </w:trPr>
        <w:tc>
          <w:tcPr>
            <w:tcW w:w="816" w:type="dxa"/>
          </w:tcPr>
          <w:p>
            <w:pPr>
              <w:pStyle w:val="TableParagraph"/>
              <w:spacing w:before="7"/>
              <w:rPr>
                <w:b/>
                <w:sz w:val="21"/>
              </w:rPr>
            </w:pPr>
          </w:p>
          <w:p>
            <w:pPr>
              <w:pStyle w:val="TableParagraph"/>
              <w:spacing w:before="1"/>
              <w:ind w:left="202"/>
              <w:rPr>
                <w:b/>
                <w:sz w:val="22"/>
              </w:rPr>
            </w:pPr>
            <w:r>
              <w:rPr>
                <w:b/>
                <w:w w:val="105"/>
                <w:sz w:val="22"/>
              </w:rPr>
              <w:t>3.</w:t>
            </w:r>
          </w:p>
        </w:tc>
        <w:tc>
          <w:tcPr>
            <w:tcW w:w="7900" w:type="dxa"/>
          </w:tcPr>
          <w:p>
            <w:pPr>
              <w:pStyle w:val="TableParagraph"/>
              <w:spacing w:before="7"/>
              <w:rPr>
                <w:b/>
                <w:sz w:val="21"/>
              </w:rPr>
            </w:pPr>
          </w:p>
          <w:p>
            <w:pPr>
              <w:pStyle w:val="TableParagraph"/>
              <w:spacing w:before="1"/>
              <w:ind w:left="387"/>
              <w:rPr>
                <w:b/>
                <w:sz w:val="22"/>
              </w:rPr>
            </w:pPr>
            <w:r>
              <w:rPr>
                <w:b/>
                <w:w w:val="105"/>
                <w:sz w:val="22"/>
              </w:rPr>
              <w:t>A Co-owner’s interest, and the role of the Managing Owner ……..</w:t>
            </w:r>
          </w:p>
        </w:tc>
        <w:tc>
          <w:tcPr>
            <w:tcW w:w="771" w:type="dxa"/>
          </w:tcPr>
          <w:p>
            <w:pPr>
              <w:pStyle w:val="TableParagraph"/>
              <w:spacing w:before="7"/>
              <w:rPr>
                <w:b/>
                <w:sz w:val="21"/>
              </w:rPr>
            </w:pPr>
          </w:p>
          <w:p>
            <w:pPr>
              <w:pStyle w:val="TableParagraph"/>
              <w:spacing w:before="1"/>
              <w:ind w:right="409"/>
              <w:jc w:val="right"/>
              <w:rPr>
                <w:b/>
                <w:sz w:val="22"/>
              </w:rPr>
            </w:pPr>
            <w:r>
              <w:rPr>
                <w:b/>
                <w:w w:val="102"/>
                <w:sz w:val="22"/>
              </w:rPr>
              <w:t>4</w:t>
            </w:r>
          </w:p>
        </w:tc>
      </w:tr>
      <w:tr>
        <w:trPr>
          <w:trHeight w:val="760" w:hRule="atLeast"/>
        </w:trPr>
        <w:tc>
          <w:tcPr>
            <w:tcW w:w="816" w:type="dxa"/>
          </w:tcPr>
          <w:p>
            <w:pPr>
              <w:pStyle w:val="TableParagraph"/>
              <w:spacing w:before="9"/>
              <w:rPr>
                <w:b/>
                <w:sz w:val="21"/>
              </w:rPr>
            </w:pPr>
          </w:p>
          <w:p>
            <w:pPr>
              <w:pStyle w:val="TableParagraph"/>
              <w:ind w:left="202"/>
              <w:rPr>
                <w:b/>
                <w:sz w:val="22"/>
              </w:rPr>
            </w:pPr>
            <w:r>
              <w:rPr>
                <w:b/>
                <w:w w:val="105"/>
                <w:sz w:val="22"/>
              </w:rPr>
              <w:t>4.</w:t>
            </w:r>
          </w:p>
        </w:tc>
        <w:tc>
          <w:tcPr>
            <w:tcW w:w="7900" w:type="dxa"/>
          </w:tcPr>
          <w:p>
            <w:pPr>
              <w:pStyle w:val="TableParagraph"/>
              <w:spacing w:before="9"/>
              <w:rPr>
                <w:b/>
                <w:sz w:val="21"/>
              </w:rPr>
            </w:pPr>
          </w:p>
          <w:p>
            <w:pPr>
              <w:pStyle w:val="TableParagraph"/>
              <w:ind w:left="329"/>
              <w:rPr>
                <w:b/>
                <w:sz w:val="22"/>
              </w:rPr>
            </w:pPr>
            <w:r>
              <w:rPr>
                <w:b/>
                <w:w w:val="105"/>
                <w:sz w:val="22"/>
              </w:rPr>
              <w:t>The sale or transfer of an interest in the horse by a Co-owner ……</w:t>
            </w:r>
          </w:p>
        </w:tc>
        <w:tc>
          <w:tcPr>
            <w:tcW w:w="771" w:type="dxa"/>
          </w:tcPr>
          <w:p>
            <w:pPr>
              <w:pStyle w:val="TableParagraph"/>
              <w:spacing w:before="9"/>
              <w:rPr>
                <w:b/>
                <w:sz w:val="21"/>
              </w:rPr>
            </w:pPr>
          </w:p>
          <w:p>
            <w:pPr>
              <w:pStyle w:val="TableParagraph"/>
              <w:ind w:right="409"/>
              <w:jc w:val="right"/>
              <w:rPr>
                <w:b/>
                <w:sz w:val="22"/>
              </w:rPr>
            </w:pPr>
            <w:r>
              <w:rPr>
                <w:b/>
                <w:w w:val="102"/>
                <w:sz w:val="22"/>
              </w:rPr>
              <w:t>7</w:t>
            </w:r>
          </w:p>
        </w:tc>
      </w:tr>
      <w:tr>
        <w:trPr>
          <w:trHeight w:val="758" w:hRule="atLeast"/>
        </w:trPr>
        <w:tc>
          <w:tcPr>
            <w:tcW w:w="816" w:type="dxa"/>
          </w:tcPr>
          <w:p>
            <w:pPr>
              <w:pStyle w:val="TableParagraph"/>
              <w:spacing w:before="9"/>
              <w:rPr>
                <w:b/>
                <w:sz w:val="21"/>
              </w:rPr>
            </w:pPr>
          </w:p>
          <w:p>
            <w:pPr>
              <w:pStyle w:val="TableParagraph"/>
              <w:ind w:left="202"/>
              <w:rPr>
                <w:b/>
                <w:sz w:val="22"/>
              </w:rPr>
            </w:pPr>
            <w:r>
              <w:rPr>
                <w:b/>
                <w:w w:val="105"/>
                <w:sz w:val="22"/>
              </w:rPr>
              <w:t>5.</w:t>
            </w:r>
          </w:p>
        </w:tc>
        <w:tc>
          <w:tcPr>
            <w:tcW w:w="7900" w:type="dxa"/>
          </w:tcPr>
          <w:p>
            <w:pPr>
              <w:pStyle w:val="TableParagraph"/>
              <w:spacing w:before="9"/>
              <w:rPr>
                <w:b/>
                <w:sz w:val="21"/>
              </w:rPr>
            </w:pPr>
          </w:p>
          <w:p>
            <w:pPr>
              <w:pStyle w:val="TableParagraph"/>
              <w:ind w:left="363"/>
              <w:rPr>
                <w:b/>
                <w:sz w:val="22"/>
              </w:rPr>
            </w:pPr>
            <w:r>
              <w:rPr>
                <w:b/>
                <w:w w:val="105"/>
                <w:sz w:val="22"/>
              </w:rPr>
              <w:t>Disputes between Co-owners …………………………………………..</w:t>
            </w:r>
          </w:p>
        </w:tc>
        <w:tc>
          <w:tcPr>
            <w:tcW w:w="771" w:type="dxa"/>
          </w:tcPr>
          <w:p>
            <w:pPr>
              <w:pStyle w:val="TableParagraph"/>
              <w:spacing w:before="9"/>
              <w:rPr>
                <w:b/>
                <w:sz w:val="21"/>
              </w:rPr>
            </w:pPr>
          </w:p>
          <w:p>
            <w:pPr>
              <w:pStyle w:val="TableParagraph"/>
              <w:ind w:right="409"/>
              <w:jc w:val="right"/>
              <w:rPr>
                <w:b/>
                <w:sz w:val="22"/>
              </w:rPr>
            </w:pPr>
            <w:r>
              <w:rPr>
                <w:b/>
                <w:w w:val="104"/>
                <w:sz w:val="22"/>
              </w:rPr>
              <w:t>9</w:t>
            </w:r>
          </w:p>
        </w:tc>
      </w:tr>
      <w:tr>
        <w:trPr>
          <w:trHeight w:val="759" w:hRule="atLeast"/>
        </w:trPr>
        <w:tc>
          <w:tcPr>
            <w:tcW w:w="816" w:type="dxa"/>
          </w:tcPr>
          <w:p>
            <w:pPr>
              <w:pStyle w:val="TableParagraph"/>
              <w:spacing w:before="6"/>
              <w:rPr>
                <w:b/>
                <w:sz w:val="21"/>
              </w:rPr>
            </w:pPr>
          </w:p>
          <w:p>
            <w:pPr>
              <w:pStyle w:val="TableParagraph"/>
              <w:ind w:left="202"/>
              <w:rPr>
                <w:b/>
                <w:sz w:val="22"/>
              </w:rPr>
            </w:pPr>
            <w:r>
              <w:rPr>
                <w:b/>
                <w:w w:val="105"/>
                <w:sz w:val="22"/>
              </w:rPr>
              <w:t>6.</w:t>
            </w:r>
          </w:p>
        </w:tc>
        <w:tc>
          <w:tcPr>
            <w:tcW w:w="7900" w:type="dxa"/>
          </w:tcPr>
          <w:p>
            <w:pPr>
              <w:pStyle w:val="TableParagraph"/>
              <w:spacing w:before="9"/>
              <w:rPr>
                <w:b/>
                <w:sz w:val="21"/>
              </w:rPr>
            </w:pPr>
          </w:p>
          <w:p>
            <w:pPr>
              <w:pStyle w:val="TableParagraph"/>
              <w:ind w:left="363"/>
              <w:rPr>
                <w:b/>
                <w:sz w:val="22"/>
              </w:rPr>
            </w:pPr>
            <w:r>
              <w:rPr>
                <w:b/>
                <w:w w:val="105"/>
                <w:sz w:val="22"/>
              </w:rPr>
              <w:t>Termination …………………………………………………………………</w:t>
            </w:r>
          </w:p>
        </w:tc>
        <w:tc>
          <w:tcPr>
            <w:tcW w:w="771" w:type="dxa"/>
          </w:tcPr>
          <w:p>
            <w:pPr>
              <w:pStyle w:val="TableParagraph"/>
              <w:spacing w:before="6"/>
              <w:rPr>
                <w:b/>
                <w:sz w:val="21"/>
              </w:rPr>
            </w:pPr>
          </w:p>
          <w:p>
            <w:pPr>
              <w:pStyle w:val="TableParagraph"/>
              <w:ind w:right="348"/>
              <w:jc w:val="right"/>
              <w:rPr>
                <w:b/>
                <w:sz w:val="22"/>
              </w:rPr>
            </w:pPr>
            <w:r>
              <w:rPr>
                <w:b/>
                <w:sz w:val="22"/>
              </w:rPr>
              <w:t>10</w:t>
            </w:r>
          </w:p>
        </w:tc>
      </w:tr>
      <w:tr>
        <w:trPr>
          <w:trHeight w:val="759" w:hRule="atLeast"/>
        </w:trPr>
        <w:tc>
          <w:tcPr>
            <w:tcW w:w="816" w:type="dxa"/>
          </w:tcPr>
          <w:p>
            <w:pPr>
              <w:pStyle w:val="TableParagraph"/>
              <w:spacing w:before="7"/>
              <w:rPr>
                <w:b/>
                <w:sz w:val="21"/>
              </w:rPr>
            </w:pPr>
          </w:p>
          <w:p>
            <w:pPr>
              <w:pStyle w:val="TableParagraph"/>
              <w:spacing w:before="1"/>
              <w:ind w:left="202"/>
              <w:rPr>
                <w:b/>
                <w:sz w:val="22"/>
              </w:rPr>
            </w:pPr>
            <w:r>
              <w:rPr>
                <w:b/>
                <w:w w:val="105"/>
                <w:sz w:val="22"/>
              </w:rPr>
              <w:t>7.</w:t>
            </w:r>
          </w:p>
        </w:tc>
        <w:tc>
          <w:tcPr>
            <w:tcW w:w="7900" w:type="dxa"/>
          </w:tcPr>
          <w:p>
            <w:pPr>
              <w:pStyle w:val="TableParagraph"/>
              <w:spacing w:before="7"/>
              <w:rPr>
                <w:b/>
                <w:sz w:val="21"/>
              </w:rPr>
            </w:pPr>
          </w:p>
          <w:p>
            <w:pPr>
              <w:pStyle w:val="TableParagraph"/>
              <w:spacing w:before="1"/>
              <w:ind w:right="165"/>
              <w:jc w:val="right"/>
              <w:rPr>
                <w:b/>
                <w:sz w:val="22"/>
              </w:rPr>
            </w:pPr>
            <w:r>
              <w:rPr>
                <w:b/>
                <w:w w:val="105"/>
                <w:sz w:val="22"/>
              </w:rPr>
              <w:t>Liabilities &amp; Warranties ……………………………………………………..</w:t>
            </w:r>
          </w:p>
        </w:tc>
        <w:tc>
          <w:tcPr>
            <w:tcW w:w="771" w:type="dxa"/>
          </w:tcPr>
          <w:p>
            <w:pPr>
              <w:pStyle w:val="TableParagraph"/>
              <w:spacing w:before="7"/>
              <w:rPr>
                <w:b/>
                <w:sz w:val="21"/>
              </w:rPr>
            </w:pPr>
          </w:p>
          <w:p>
            <w:pPr>
              <w:pStyle w:val="TableParagraph"/>
              <w:spacing w:before="1"/>
              <w:ind w:right="348"/>
              <w:jc w:val="right"/>
              <w:rPr>
                <w:b/>
                <w:sz w:val="22"/>
              </w:rPr>
            </w:pPr>
            <w:r>
              <w:rPr>
                <w:b/>
                <w:sz w:val="22"/>
              </w:rPr>
              <w:t>10</w:t>
            </w:r>
          </w:p>
        </w:tc>
      </w:tr>
      <w:tr>
        <w:trPr>
          <w:trHeight w:val="761" w:hRule="atLeast"/>
        </w:trPr>
        <w:tc>
          <w:tcPr>
            <w:tcW w:w="816" w:type="dxa"/>
          </w:tcPr>
          <w:p>
            <w:pPr>
              <w:pStyle w:val="TableParagraph"/>
              <w:spacing w:before="9"/>
              <w:rPr>
                <w:b/>
                <w:sz w:val="21"/>
              </w:rPr>
            </w:pPr>
          </w:p>
          <w:p>
            <w:pPr>
              <w:pStyle w:val="TableParagraph"/>
              <w:ind w:left="202"/>
              <w:rPr>
                <w:b/>
                <w:sz w:val="22"/>
              </w:rPr>
            </w:pPr>
            <w:r>
              <w:rPr>
                <w:b/>
                <w:w w:val="105"/>
                <w:sz w:val="22"/>
              </w:rPr>
              <w:t>8.</w:t>
            </w:r>
          </w:p>
        </w:tc>
        <w:tc>
          <w:tcPr>
            <w:tcW w:w="7900" w:type="dxa"/>
          </w:tcPr>
          <w:p>
            <w:pPr>
              <w:pStyle w:val="TableParagraph"/>
              <w:rPr>
                <w:b/>
                <w:sz w:val="22"/>
              </w:rPr>
            </w:pPr>
          </w:p>
          <w:p>
            <w:pPr>
              <w:pStyle w:val="TableParagraph"/>
              <w:ind w:right="204"/>
              <w:jc w:val="right"/>
              <w:rPr>
                <w:b/>
                <w:sz w:val="22"/>
              </w:rPr>
            </w:pPr>
            <w:r>
              <w:rPr>
                <w:b/>
                <w:w w:val="105"/>
                <w:sz w:val="22"/>
              </w:rPr>
              <w:t>Insurance ……………………………………………………………………..</w:t>
            </w:r>
          </w:p>
        </w:tc>
        <w:tc>
          <w:tcPr>
            <w:tcW w:w="771" w:type="dxa"/>
          </w:tcPr>
          <w:p>
            <w:pPr>
              <w:pStyle w:val="TableParagraph"/>
              <w:spacing w:before="9"/>
              <w:rPr>
                <w:b/>
                <w:sz w:val="21"/>
              </w:rPr>
            </w:pPr>
          </w:p>
          <w:p>
            <w:pPr>
              <w:pStyle w:val="TableParagraph"/>
              <w:ind w:right="348"/>
              <w:jc w:val="right"/>
              <w:rPr>
                <w:b/>
                <w:sz w:val="22"/>
              </w:rPr>
            </w:pPr>
            <w:r>
              <w:rPr>
                <w:b/>
                <w:sz w:val="22"/>
              </w:rPr>
              <w:t>11</w:t>
            </w:r>
          </w:p>
        </w:tc>
      </w:tr>
      <w:tr>
        <w:trPr>
          <w:trHeight w:val="757" w:hRule="atLeast"/>
        </w:trPr>
        <w:tc>
          <w:tcPr>
            <w:tcW w:w="816" w:type="dxa"/>
          </w:tcPr>
          <w:p>
            <w:pPr>
              <w:pStyle w:val="TableParagraph"/>
              <w:spacing w:before="7"/>
              <w:rPr>
                <w:b/>
                <w:sz w:val="21"/>
              </w:rPr>
            </w:pPr>
          </w:p>
          <w:p>
            <w:pPr>
              <w:pStyle w:val="TableParagraph"/>
              <w:ind w:left="202"/>
              <w:rPr>
                <w:b/>
                <w:sz w:val="22"/>
              </w:rPr>
            </w:pPr>
            <w:r>
              <w:rPr>
                <w:b/>
                <w:w w:val="105"/>
                <w:sz w:val="22"/>
              </w:rPr>
              <w:t>9.</w:t>
            </w:r>
          </w:p>
        </w:tc>
        <w:tc>
          <w:tcPr>
            <w:tcW w:w="7900" w:type="dxa"/>
          </w:tcPr>
          <w:p>
            <w:pPr>
              <w:pStyle w:val="TableParagraph"/>
              <w:spacing w:before="7"/>
              <w:rPr>
                <w:b/>
                <w:sz w:val="21"/>
              </w:rPr>
            </w:pPr>
          </w:p>
          <w:p>
            <w:pPr>
              <w:pStyle w:val="TableParagraph"/>
              <w:ind w:right="206"/>
              <w:jc w:val="right"/>
              <w:rPr>
                <w:b/>
                <w:sz w:val="22"/>
              </w:rPr>
            </w:pPr>
            <w:r>
              <w:rPr>
                <w:b/>
                <w:w w:val="105"/>
                <w:sz w:val="22"/>
              </w:rPr>
              <w:t>The effect of other agreements, and clauses to be severable ……...</w:t>
            </w:r>
          </w:p>
        </w:tc>
        <w:tc>
          <w:tcPr>
            <w:tcW w:w="771" w:type="dxa"/>
          </w:tcPr>
          <w:p>
            <w:pPr>
              <w:pStyle w:val="TableParagraph"/>
              <w:spacing w:before="7"/>
              <w:rPr>
                <w:b/>
                <w:sz w:val="21"/>
              </w:rPr>
            </w:pPr>
          </w:p>
          <w:p>
            <w:pPr>
              <w:pStyle w:val="TableParagraph"/>
              <w:ind w:right="348"/>
              <w:jc w:val="right"/>
              <w:rPr>
                <w:b/>
                <w:sz w:val="22"/>
              </w:rPr>
            </w:pPr>
            <w:r>
              <w:rPr>
                <w:b/>
                <w:sz w:val="22"/>
              </w:rPr>
              <w:t>11</w:t>
            </w:r>
          </w:p>
        </w:tc>
      </w:tr>
      <w:tr>
        <w:trPr>
          <w:trHeight w:val="758" w:hRule="atLeast"/>
        </w:trPr>
        <w:tc>
          <w:tcPr>
            <w:tcW w:w="816" w:type="dxa"/>
          </w:tcPr>
          <w:p>
            <w:pPr>
              <w:pStyle w:val="TableParagraph"/>
              <w:spacing w:before="7"/>
              <w:rPr>
                <w:b/>
                <w:sz w:val="21"/>
              </w:rPr>
            </w:pPr>
          </w:p>
          <w:p>
            <w:pPr>
              <w:pStyle w:val="TableParagraph"/>
              <w:spacing w:before="1"/>
              <w:ind w:left="200"/>
              <w:rPr>
                <w:b/>
                <w:sz w:val="22"/>
              </w:rPr>
            </w:pPr>
            <w:r>
              <w:rPr>
                <w:b/>
                <w:w w:val="105"/>
                <w:sz w:val="22"/>
              </w:rPr>
              <w:t>10.</w:t>
            </w:r>
          </w:p>
        </w:tc>
        <w:tc>
          <w:tcPr>
            <w:tcW w:w="7900" w:type="dxa"/>
          </w:tcPr>
          <w:p>
            <w:pPr>
              <w:pStyle w:val="TableParagraph"/>
              <w:spacing w:before="7"/>
              <w:rPr>
                <w:b/>
                <w:sz w:val="21"/>
              </w:rPr>
            </w:pPr>
          </w:p>
          <w:p>
            <w:pPr>
              <w:pStyle w:val="TableParagraph"/>
              <w:spacing w:before="1"/>
              <w:ind w:right="219"/>
              <w:jc w:val="right"/>
              <w:rPr>
                <w:b/>
                <w:sz w:val="22"/>
              </w:rPr>
            </w:pPr>
            <w:r>
              <w:rPr>
                <w:b/>
                <w:w w:val="105"/>
                <w:sz w:val="22"/>
              </w:rPr>
              <w:t>Notices ………………………………………………………………………..</w:t>
            </w:r>
          </w:p>
        </w:tc>
        <w:tc>
          <w:tcPr>
            <w:tcW w:w="771" w:type="dxa"/>
          </w:tcPr>
          <w:p>
            <w:pPr>
              <w:pStyle w:val="TableParagraph"/>
              <w:spacing w:before="7"/>
              <w:rPr>
                <w:b/>
                <w:sz w:val="21"/>
              </w:rPr>
            </w:pPr>
          </w:p>
          <w:p>
            <w:pPr>
              <w:pStyle w:val="TableParagraph"/>
              <w:spacing w:before="1"/>
              <w:ind w:right="348"/>
              <w:jc w:val="right"/>
              <w:rPr>
                <w:b/>
                <w:sz w:val="22"/>
              </w:rPr>
            </w:pPr>
            <w:r>
              <w:rPr>
                <w:b/>
                <w:sz w:val="22"/>
              </w:rPr>
              <w:t>11</w:t>
            </w:r>
          </w:p>
        </w:tc>
      </w:tr>
      <w:tr>
        <w:trPr>
          <w:trHeight w:val="504" w:hRule="atLeast"/>
        </w:trPr>
        <w:tc>
          <w:tcPr>
            <w:tcW w:w="816" w:type="dxa"/>
          </w:tcPr>
          <w:p>
            <w:pPr>
              <w:pStyle w:val="TableParagraph"/>
              <w:rPr>
                <w:rFonts w:ascii="Times New Roman"/>
                <w:sz w:val="22"/>
              </w:rPr>
            </w:pPr>
          </w:p>
        </w:tc>
        <w:tc>
          <w:tcPr>
            <w:tcW w:w="7900" w:type="dxa"/>
          </w:tcPr>
          <w:p>
            <w:pPr>
              <w:pStyle w:val="TableParagraph"/>
              <w:spacing w:before="10"/>
              <w:rPr>
                <w:b/>
                <w:sz w:val="21"/>
              </w:rPr>
            </w:pPr>
          </w:p>
          <w:p>
            <w:pPr>
              <w:pStyle w:val="TableParagraph"/>
              <w:spacing w:line="233" w:lineRule="exact"/>
              <w:ind w:left="449"/>
              <w:rPr>
                <w:b/>
                <w:sz w:val="22"/>
              </w:rPr>
            </w:pPr>
            <w:r>
              <w:rPr>
                <w:b/>
                <w:w w:val="105"/>
                <w:sz w:val="22"/>
              </w:rPr>
              <w:t>Schedule 1 – The Dictionary …………………………………………..</w:t>
            </w:r>
          </w:p>
        </w:tc>
        <w:tc>
          <w:tcPr>
            <w:tcW w:w="771" w:type="dxa"/>
          </w:tcPr>
          <w:p>
            <w:pPr>
              <w:pStyle w:val="TableParagraph"/>
              <w:spacing w:before="7"/>
              <w:rPr>
                <w:b/>
                <w:sz w:val="21"/>
              </w:rPr>
            </w:pPr>
          </w:p>
          <w:p>
            <w:pPr>
              <w:pStyle w:val="TableParagraph"/>
              <w:spacing w:line="236" w:lineRule="exact" w:before="1"/>
              <w:ind w:right="348"/>
              <w:jc w:val="right"/>
              <w:rPr>
                <w:b/>
                <w:sz w:val="22"/>
              </w:rPr>
            </w:pPr>
            <w:r>
              <w:rPr>
                <w:b/>
                <w:sz w:val="22"/>
              </w:rPr>
              <w:t>13</w:t>
            </w:r>
          </w:p>
        </w:tc>
      </w:tr>
    </w:tbl>
    <w:p>
      <w:pPr>
        <w:spacing w:after="0" w:line="236" w:lineRule="exact"/>
        <w:jc w:val="right"/>
        <w:rPr>
          <w:sz w:val="22"/>
        </w:rPr>
        <w:sectPr>
          <w:type w:val="continuous"/>
          <w:pgSz w:w="11900" w:h="16860"/>
          <w:pgMar w:top="820" w:bottom="280" w:left="900" w:right="980"/>
        </w:sectPr>
      </w:pPr>
    </w:p>
    <w:p>
      <w:pPr>
        <w:pStyle w:val="Heading2"/>
        <w:spacing w:before="65"/>
        <w:ind w:left="319" w:firstLine="0"/>
      </w:pPr>
      <w:r>
        <w:rPr>
          <w:w w:val="105"/>
        </w:rPr>
        <w:t>SUMMARY</w:t>
      </w:r>
    </w:p>
    <w:p>
      <w:pPr>
        <w:pStyle w:val="BodyText"/>
        <w:spacing w:before="1"/>
        <w:rPr>
          <w:b/>
        </w:rPr>
      </w:pPr>
    </w:p>
    <w:p>
      <w:pPr>
        <w:pStyle w:val="BodyText"/>
        <w:ind w:left="319" w:right="52"/>
      </w:pPr>
      <w:r>
        <w:rPr>
          <w:w w:val="105"/>
        </w:rPr>
        <w:t>The purpose of this Agreement is to provide a set of standard terms which will govern the rights and obligations of Co-owners of the Horse/s owned by the Horse Ownership Venture.</w:t>
      </w:r>
    </w:p>
    <w:p>
      <w:pPr>
        <w:pStyle w:val="BodyText"/>
        <w:spacing w:before="1"/>
        <w:rPr>
          <w:sz w:val="30"/>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HOW THIS AGREEMENT APPLIES TO</w:t>
      </w:r>
      <w:r>
        <w:rPr>
          <w:spacing w:val="-3"/>
          <w:w w:val="105"/>
        </w:rPr>
        <w:t> </w:t>
      </w:r>
      <w:r>
        <w:rPr>
          <w:w w:val="105"/>
        </w:rPr>
        <w:t>YOU</w:t>
      </w:r>
    </w:p>
    <w:p>
      <w:pPr>
        <w:pStyle w:val="BodyText"/>
        <w:spacing w:before="1"/>
        <w:rPr>
          <w:b/>
        </w:rPr>
      </w:pPr>
    </w:p>
    <w:p>
      <w:pPr>
        <w:pStyle w:val="ListParagraph"/>
        <w:numPr>
          <w:ilvl w:val="1"/>
          <w:numId w:val="1"/>
        </w:numPr>
        <w:tabs>
          <w:tab w:pos="885" w:val="left" w:leader="none"/>
          <w:tab w:pos="887" w:val="left" w:leader="none"/>
        </w:tabs>
        <w:spacing w:line="240" w:lineRule="auto" w:before="0" w:after="0"/>
        <w:ind w:left="907" w:right="0" w:hanging="588"/>
        <w:jc w:val="left"/>
        <w:rPr>
          <w:sz w:val="22"/>
        </w:rPr>
      </w:pPr>
      <w:r>
        <w:rPr>
          <w:w w:val="105"/>
          <w:sz w:val="22"/>
        </w:rPr>
        <w:t>From 1 August 2018 this Agreement applies to all Co-owners, provided</w:t>
      </w:r>
      <w:r>
        <w:rPr>
          <w:spacing w:val="-17"/>
          <w:w w:val="105"/>
          <w:sz w:val="22"/>
        </w:rPr>
        <w:t> </w:t>
      </w:r>
      <w:r>
        <w:rPr>
          <w:w w:val="105"/>
          <w:sz w:val="22"/>
        </w:rPr>
        <w:t>that:</w:t>
      </w:r>
    </w:p>
    <w:p>
      <w:pPr>
        <w:pStyle w:val="BodyText"/>
      </w:pPr>
    </w:p>
    <w:p>
      <w:pPr>
        <w:pStyle w:val="ListParagraph"/>
        <w:numPr>
          <w:ilvl w:val="2"/>
          <w:numId w:val="1"/>
        </w:numPr>
        <w:tabs>
          <w:tab w:pos="1477" w:val="left" w:leader="none"/>
        </w:tabs>
        <w:spacing w:line="240" w:lineRule="auto" w:before="0" w:after="0"/>
        <w:ind w:left="1476" w:right="108" w:hanging="569"/>
        <w:jc w:val="both"/>
        <w:rPr>
          <w:sz w:val="22"/>
        </w:rPr>
      </w:pPr>
      <w:r>
        <w:rPr>
          <w:sz w:val="22"/>
        </w:rPr>
        <w:t>this Agreement does not </w:t>
      </w:r>
      <w:r>
        <w:rPr>
          <w:spacing w:val="-3"/>
          <w:sz w:val="22"/>
        </w:rPr>
        <w:t>apply </w:t>
      </w:r>
      <w:r>
        <w:rPr>
          <w:sz w:val="22"/>
        </w:rPr>
        <w:t>to </w:t>
      </w:r>
      <w:r>
        <w:rPr>
          <w:spacing w:val="-4"/>
          <w:sz w:val="22"/>
        </w:rPr>
        <w:t>Co-owners </w:t>
      </w:r>
      <w:r>
        <w:rPr>
          <w:sz w:val="22"/>
        </w:rPr>
        <w:t>in a </w:t>
      </w:r>
      <w:r>
        <w:rPr>
          <w:spacing w:val="-4"/>
          <w:sz w:val="22"/>
        </w:rPr>
        <w:t>Promoter Syndicate </w:t>
      </w:r>
      <w:r>
        <w:rPr>
          <w:spacing w:val="-3"/>
          <w:sz w:val="22"/>
        </w:rPr>
        <w:t>who own the </w:t>
      </w:r>
      <w:r>
        <w:rPr>
          <w:spacing w:val="-4"/>
          <w:sz w:val="22"/>
        </w:rPr>
        <w:t>whole </w:t>
      </w:r>
      <w:r>
        <w:rPr>
          <w:spacing w:val="-3"/>
          <w:sz w:val="22"/>
        </w:rPr>
        <w:t>of the Horse </w:t>
      </w:r>
      <w:r>
        <w:rPr>
          <w:spacing w:val="-4"/>
          <w:sz w:val="22"/>
        </w:rPr>
        <w:t>through that syndicate </w:t>
      </w:r>
      <w:r>
        <w:rPr>
          <w:spacing w:val="-3"/>
          <w:sz w:val="22"/>
        </w:rPr>
        <w:t>(but does </w:t>
      </w:r>
      <w:r>
        <w:rPr>
          <w:spacing w:val="-4"/>
          <w:sz w:val="22"/>
        </w:rPr>
        <w:t>apply </w:t>
      </w:r>
      <w:r>
        <w:rPr>
          <w:sz w:val="22"/>
        </w:rPr>
        <w:t>to </w:t>
      </w:r>
      <w:r>
        <w:rPr>
          <w:spacing w:val="-4"/>
          <w:sz w:val="22"/>
        </w:rPr>
        <w:t>Promoter Syndicates </w:t>
      </w:r>
      <w:r>
        <w:rPr>
          <w:spacing w:val="-3"/>
          <w:sz w:val="22"/>
        </w:rPr>
        <w:t>who own their </w:t>
      </w:r>
      <w:r>
        <w:rPr>
          <w:spacing w:val="-4"/>
          <w:sz w:val="22"/>
        </w:rPr>
        <w:t>interest </w:t>
      </w:r>
      <w:r>
        <w:rPr>
          <w:sz w:val="22"/>
        </w:rPr>
        <w:t>in the </w:t>
      </w:r>
      <w:r>
        <w:rPr>
          <w:spacing w:val="-3"/>
          <w:sz w:val="22"/>
        </w:rPr>
        <w:t>Horse with </w:t>
      </w:r>
      <w:r>
        <w:rPr>
          <w:sz w:val="22"/>
        </w:rPr>
        <w:t>at </w:t>
      </w:r>
      <w:r>
        <w:rPr>
          <w:spacing w:val="-4"/>
          <w:sz w:val="22"/>
        </w:rPr>
        <w:t>least </w:t>
      </w:r>
      <w:r>
        <w:rPr>
          <w:sz w:val="22"/>
        </w:rPr>
        <w:t>one </w:t>
      </w:r>
      <w:r>
        <w:rPr>
          <w:spacing w:val="-3"/>
          <w:sz w:val="22"/>
        </w:rPr>
        <w:t>other Co-owner </w:t>
      </w:r>
      <w:r>
        <w:rPr>
          <w:spacing w:val="-4"/>
          <w:sz w:val="22"/>
        </w:rPr>
        <w:t>who/which </w:t>
      </w:r>
      <w:r>
        <w:rPr>
          <w:sz w:val="22"/>
        </w:rPr>
        <w:t>is </w:t>
      </w:r>
      <w:r>
        <w:rPr>
          <w:spacing w:val="-3"/>
          <w:sz w:val="22"/>
        </w:rPr>
        <w:t>not </w:t>
      </w:r>
      <w:r>
        <w:rPr>
          <w:sz w:val="22"/>
        </w:rPr>
        <w:t>in a </w:t>
      </w:r>
      <w:r>
        <w:rPr>
          <w:spacing w:val="-4"/>
          <w:sz w:val="22"/>
        </w:rPr>
        <w:t>Promoter Syndicate);</w:t>
      </w:r>
      <w:r>
        <w:rPr>
          <w:spacing w:val="-7"/>
          <w:sz w:val="22"/>
        </w:rPr>
        <w:t> </w:t>
      </w:r>
      <w:r>
        <w:rPr>
          <w:spacing w:val="7"/>
          <w:sz w:val="22"/>
        </w:rPr>
        <w:t>and</w:t>
      </w:r>
    </w:p>
    <w:p>
      <w:pPr>
        <w:pStyle w:val="BodyText"/>
        <w:spacing w:before="2"/>
      </w:pPr>
    </w:p>
    <w:p>
      <w:pPr>
        <w:pStyle w:val="ListParagraph"/>
        <w:numPr>
          <w:ilvl w:val="2"/>
          <w:numId w:val="1"/>
        </w:numPr>
        <w:tabs>
          <w:tab w:pos="1477" w:val="left" w:leader="none"/>
        </w:tabs>
        <w:spacing w:line="240" w:lineRule="auto" w:before="0" w:after="0"/>
        <w:ind w:left="1476" w:right="271" w:hanging="569"/>
        <w:jc w:val="both"/>
        <w:rPr>
          <w:sz w:val="22"/>
        </w:rPr>
      </w:pPr>
      <w:r>
        <w:rPr>
          <w:spacing w:val="1"/>
          <w:w w:val="105"/>
          <w:sz w:val="22"/>
        </w:rPr>
        <w:t>if </w:t>
      </w:r>
      <w:r>
        <w:rPr>
          <w:w w:val="105"/>
          <w:sz w:val="22"/>
        </w:rPr>
        <w:t>one or more of the Co-owners to whom this Agreement applies is party to a</w:t>
      </w:r>
      <w:r>
        <w:rPr>
          <w:spacing w:val="63"/>
          <w:w w:val="105"/>
          <w:sz w:val="22"/>
        </w:rPr>
        <w:t> </w:t>
      </w:r>
      <w:r>
        <w:rPr>
          <w:w w:val="105"/>
          <w:sz w:val="22"/>
        </w:rPr>
        <w:t>separate agreement with other Co-owners in respect of the Horse Ownership Venture, that other agreement operates to the extent permitted by clause</w:t>
      </w:r>
      <w:r>
        <w:rPr>
          <w:spacing w:val="-26"/>
          <w:w w:val="105"/>
          <w:sz w:val="22"/>
        </w:rPr>
        <w:t> </w:t>
      </w:r>
      <w:r>
        <w:rPr>
          <w:w w:val="105"/>
          <w:sz w:val="22"/>
        </w:rPr>
        <w:t>9.</w:t>
      </w:r>
    </w:p>
    <w:p>
      <w:pPr>
        <w:pStyle w:val="BodyText"/>
        <w:spacing w:before="2"/>
      </w:pPr>
    </w:p>
    <w:p>
      <w:pPr>
        <w:pStyle w:val="BodyText"/>
        <w:ind w:left="907" w:right="52"/>
      </w:pPr>
      <w:r>
        <w:rPr/>
        <w:t>This Agreement supersedes the original version of the Racing Australia Co-owner Agreement, which was in force from 1 August 2017.</w:t>
      </w:r>
    </w:p>
    <w:p>
      <w:pPr>
        <w:pStyle w:val="BodyText"/>
        <w:spacing w:before="2"/>
      </w:pPr>
    </w:p>
    <w:p>
      <w:pPr>
        <w:pStyle w:val="ListParagraph"/>
        <w:numPr>
          <w:ilvl w:val="1"/>
          <w:numId w:val="1"/>
        </w:numPr>
        <w:tabs>
          <w:tab w:pos="907" w:val="left" w:leader="none"/>
          <w:tab w:pos="908" w:val="left" w:leader="none"/>
        </w:tabs>
        <w:spacing w:line="240" w:lineRule="auto" w:before="0" w:after="0"/>
        <w:ind w:left="907" w:right="231" w:hanging="588"/>
        <w:jc w:val="left"/>
        <w:rPr>
          <w:sz w:val="22"/>
        </w:rPr>
      </w:pPr>
      <w:r>
        <w:rPr>
          <w:w w:val="105"/>
          <w:sz w:val="22"/>
        </w:rPr>
        <w:t>Pursuant to the Rules of Racing, this Agreement applies from 1 August 2018 until it is terminated in accordance with clause</w:t>
      </w:r>
      <w:r>
        <w:rPr>
          <w:spacing w:val="-10"/>
          <w:w w:val="105"/>
          <w:sz w:val="22"/>
        </w:rPr>
        <w:t> </w:t>
      </w:r>
      <w:r>
        <w:rPr>
          <w:w w:val="105"/>
          <w:sz w:val="22"/>
        </w:rPr>
        <w:t>6.</w:t>
      </w:r>
    </w:p>
    <w:p>
      <w:pPr>
        <w:pStyle w:val="BodyText"/>
        <w:spacing w:before="8"/>
        <w:rPr>
          <w:sz w:val="21"/>
        </w:rPr>
      </w:pPr>
    </w:p>
    <w:p>
      <w:pPr>
        <w:pStyle w:val="ListParagraph"/>
        <w:numPr>
          <w:ilvl w:val="1"/>
          <w:numId w:val="1"/>
        </w:numPr>
        <w:tabs>
          <w:tab w:pos="887" w:val="left" w:leader="none"/>
        </w:tabs>
        <w:spacing w:line="240" w:lineRule="auto" w:before="0" w:after="0"/>
        <w:ind w:left="886" w:right="262" w:hanging="567"/>
        <w:jc w:val="both"/>
        <w:rPr>
          <w:sz w:val="22"/>
        </w:rPr>
      </w:pPr>
      <w:r>
        <w:rPr>
          <w:w w:val="105"/>
          <w:sz w:val="22"/>
        </w:rPr>
        <w:t>The terms of this Agreement can be excluded or varied by agreement in writing by the Co-owners in accordance with clause 3.7(c), except that the Co-owners cannot exclude or limit the operation of any provision of this Agreement which embodies or mirrors a requirement of the Rules of</w:t>
      </w:r>
      <w:r>
        <w:rPr>
          <w:spacing w:val="-9"/>
          <w:w w:val="105"/>
          <w:sz w:val="22"/>
        </w:rPr>
        <w:t> </w:t>
      </w:r>
      <w:r>
        <w:rPr>
          <w:w w:val="105"/>
          <w:sz w:val="22"/>
        </w:rPr>
        <w:t>Racing.</w:t>
      </w:r>
    </w:p>
    <w:p>
      <w:pPr>
        <w:pStyle w:val="BodyText"/>
      </w:pPr>
    </w:p>
    <w:p>
      <w:pPr>
        <w:pStyle w:val="ListParagraph"/>
        <w:numPr>
          <w:ilvl w:val="1"/>
          <w:numId w:val="1"/>
        </w:numPr>
        <w:tabs>
          <w:tab w:pos="885" w:val="left" w:leader="none"/>
          <w:tab w:pos="887" w:val="left" w:leader="none"/>
        </w:tabs>
        <w:spacing w:line="240" w:lineRule="auto" w:before="1" w:after="0"/>
        <w:ind w:left="907" w:right="0" w:hanging="588"/>
        <w:jc w:val="left"/>
        <w:rPr>
          <w:sz w:val="22"/>
        </w:rPr>
      </w:pPr>
      <w:r>
        <w:rPr>
          <w:w w:val="105"/>
          <w:sz w:val="22"/>
        </w:rPr>
        <w:t>The governing law for this Agreement is as</w:t>
      </w:r>
      <w:r>
        <w:rPr>
          <w:spacing w:val="-25"/>
          <w:w w:val="105"/>
          <w:sz w:val="22"/>
        </w:rPr>
        <w:t> </w:t>
      </w:r>
      <w:r>
        <w:rPr>
          <w:w w:val="105"/>
          <w:sz w:val="22"/>
        </w:rPr>
        <w:t>follows:</w:t>
      </w:r>
    </w:p>
    <w:p>
      <w:pPr>
        <w:pStyle w:val="BodyText"/>
      </w:pPr>
    </w:p>
    <w:p>
      <w:pPr>
        <w:pStyle w:val="ListParagraph"/>
        <w:numPr>
          <w:ilvl w:val="2"/>
          <w:numId w:val="1"/>
        </w:numPr>
        <w:tabs>
          <w:tab w:pos="1453" w:val="left" w:leader="none"/>
        </w:tabs>
        <w:spacing w:line="240" w:lineRule="auto" w:before="0" w:after="0"/>
        <w:ind w:left="1452" w:right="277" w:hanging="554"/>
        <w:jc w:val="both"/>
        <w:rPr>
          <w:sz w:val="22"/>
        </w:rPr>
      </w:pPr>
      <w:r>
        <w:rPr>
          <w:w w:val="105"/>
          <w:sz w:val="22"/>
        </w:rPr>
        <w:t>if the Horse Ownership Venture includes training and/or racing the Horse, by the laws of the State or Territory in which the Trainer is registered to train the</w:t>
      </w:r>
      <w:r>
        <w:rPr>
          <w:spacing w:val="-19"/>
          <w:w w:val="105"/>
          <w:sz w:val="22"/>
        </w:rPr>
        <w:t> </w:t>
      </w:r>
      <w:r>
        <w:rPr>
          <w:w w:val="105"/>
          <w:sz w:val="22"/>
        </w:rPr>
        <w:t>Horse;</w:t>
      </w:r>
    </w:p>
    <w:p>
      <w:pPr>
        <w:pStyle w:val="BodyText"/>
        <w:spacing w:before="11"/>
        <w:rPr>
          <w:sz w:val="21"/>
        </w:rPr>
      </w:pPr>
    </w:p>
    <w:p>
      <w:pPr>
        <w:pStyle w:val="ListParagraph"/>
        <w:numPr>
          <w:ilvl w:val="2"/>
          <w:numId w:val="1"/>
        </w:numPr>
        <w:tabs>
          <w:tab w:pos="1453" w:val="left" w:leader="none"/>
        </w:tabs>
        <w:spacing w:line="240" w:lineRule="auto" w:before="0" w:after="0"/>
        <w:ind w:left="1452" w:right="271" w:hanging="554"/>
        <w:jc w:val="both"/>
        <w:rPr>
          <w:sz w:val="22"/>
        </w:rPr>
      </w:pPr>
      <w:r>
        <w:rPr>
          <w:w w:val="105"/>
          <w:sz w:val="22"/>
        </w:rPr>
        <w:t>further to (a), if the Horse Ownership Venture includes training and/or racing the Horse and if the Trainer is registered in more than one State or Territory, by the laws of the State or Territory in which the Horse is trained based upon the most recent Stable Return lodged by the Trainer with Racing Australia in respect of the Horse;</w:t>
      </w:r>
      <w:r>
        <w:rPr>
          <w:spacing w:val="-7"/>
          <w:w w:val="105"/>
          <w:sz w:val="22"/>
        </w:rPr>
        <w:t> </w:t>
      </w:r>
      <w:r>
        <w:rPr>
          <w:w w:val="105"/>
          <w:sz w:val="22"/>
        </w:rPr>
        <w:t>and</w:t>
      </w:r>
    </w:p>
    <w:p>
      <w:pPr>
        <w:pStyle w:val="BodyText"/>
        <w:spacing w:before="1"/>
      </w:pPr>
    </w:p>
    <w:p>
      <w:pPr>
        <w:pStyle w:val="ListParagraph"/>
        <w:numPr>
          <w:ilvl w:val="2"/>
          <w:numId w:val="1"/>
        </w:numPr>
        <w:tabs>
          <w:tab w:pos="1453" w:val="left" w:leader="none"/>
        </w:tabs>
        <w:spacing w:line="240" w:lineRule="auto" w:before="0" w:after="0"/>
        <w:ind w:left="1452" w:right="274" w:hanging="554"/>
        <w:jc w:val="both"/>
        <w:rPr>
          <w:sz w:val="22"/>
        </w:rPr>
      </w:pPr>
      <w:r>
        <w:rPr>
          <w:w w:val="105"/>
          <w:sz w:val="22"/>
        </w:rPr>
        <w:t>if the Horse Ownership Venture does not involve training and/or racing the Horse, by the laws of the State or Territory in which the address for the Managing Owner set out in the relevant Racing Australia registration form is located.</w:t>
      </w:r>
    </w:p>
    <w:p>
      <w:pPr>
        <w:pStyle w:val="BodyText"/>
        <w:spacing w:before="10"/>
        <w:rPr>
          <w:sz w:val="21"/>
        </w:rPr>
      </w:pPr>
    </w:p>
    <w:p>
      <w:pPr>
        <w:pStyle w:val="ListParagraph"/>
        <w:numPr>
          <w:ilvl w:val="1"/>
          <w:numId w:val="1"/>
        </w:numPr>
        <w:tabs>
          <w:tab w:pos="885" w:val="left" w:leader="none"/>
          <w:tab w:pos="887" w:val="left" w:leader="none"/>
        </w:tabs>
        <w:spacing w:line="240" w:lineRule="auto" w:before="0" w:after="0"/>
        <w:ind w:left="907" w:right="0" w:hanging="588"/>
        <w:jc w:val="left"/>
        <w:rPr>
          <w:sz w:val="22"/>
        </w:rPr>
      </w:pPr>
      <w:r>
        <w:rPr>
          <w:w w:val="105"/>
          <w:sz w:val="22"/>
        </w:rPr>
        <w:t>This Agreement binds all Co-owners severally, but not jointly and</w:t>
      </w:r>
      <w:r>
        <w:rPr>
          <w:spacing w:val="-42"/>
          <w:w w:val="105"/>
          <w:sz w:val="22"/>
        </w:rPr>
        <w:t> </w:t>
      </w:r>
      <w:r>
        <w:rPr>
          <w:w w:val="105"/>
          <w:sz w:val="22"/>
        </w:rPr>
        <w:t>severally.</w:t>
      </w:r>
    </w:p>
    <w:p>
      <w:pPr>
        <w:pStyle w:val="BodyText"/>
      </w:pPr>
    </w:p>
    <w:p>
      <w:pPr>
        <w:pStyle w:val="ListParagraph"/>
        <w:numPr>
          <w:ilvl w:val="1"/>
          <w:numId w:val="1"/>
        </w:numPr>
        <w:tabs>
          <w:tab w:pos="887" w:val="left" w:leader="none"/>
        </w:tabs>
        <w:spacing w:line="240" w:lineRule="auto" w:before="0" w:after="0"/>
        <w:ind w:left="886" w:right="273" w:hanging="567"/>
        <w:jc w:val="both"/>
        <w:rPr>
          <w:sz w:val="22"/>
        </w:rPr>
      </w:pPr>
      <w:r>
        <w:rPr>
          <w:w w:val="105"/>
          <w:sz w:val="22"/>
        </w:rPr>
        <w:t>This Agreement applies until the earliest of the Horse’s death, the completed sale of</w:t>
      </w:r>
      <w:r>
        <w:rPr>
          <w:spacing w:val="63"/>
          <w:w w:val="105"/>
          <w:sz w:val="22"/>
        </w:rPr>
        <w:t> </w:t>
      </w:r>
      <w:r>
        <w:rPr>
          <w:w w:val="105"/>
          <w:sz w:val="22"/>
        </w:rPr>
        <w:t>the whole of the Horse, or until this Agreement is terminated in accordance with clause 6.</w:t>
      </w:r>
    </w:p>
    <w:p>
      <w:pPr>
        <w:pStyle w:val="BodyText"/>
        <w:spacing w:before="8"/>
        <w:rPr>
          <w:sz w:val="21"/>
        </w:rPr>
      </w:pPr>
    </w:p>
    <w:p>
      <w:pPr>
        <w:pStyle w:val="ListParagraph"/>
        <w:numPr>
          <w:ilvl w:val="1"/>
          <w:numId w:val="1"/>
        </w:numPr>
        <w:tabs>
          <w:tab w:pos="885" w:val="left" w:leader="none"/>
          <w:tab w:pos="887" w:val="left" w:leader="none"/>
        </w:tabs>
        <w:spacing w:line="240" w:lineRule="auto" w:before="0" w:after="0"/>
        <w:ind w:left="886" w:right="238" w:hanging="567"/>
        <w:jc w:val="left"/>
        <w:rPr>
          <w:sz w:val="22"/>
        </w:rPr>
      </w:pPr>
      <w:r>
        <w:rPr>
          <w:w w:val="105"/>
          <w:sz w:val="22"/>
        </w:rPr>
        <w:t>The Managing Owner and all Co-owners agree at all times to comply with the Rules of Racing, as amended from time to</w:t>
      </w:r>
      <w:r>
        <w:rPr>
          <w:spacing w:val="-38"/>
          <w:w w:val="105"/>
          <w:sz w:val="22"/>
        </w:rPr>
        <w:t> </w:t>
      </w:r>
      <w:r>
        <w:rPr>
          <w:w w:val="105"/>
          <w:sz w:val="22"/>
        </w:rPr>
        <w:t>time.</w:t>
      </w:r>
    </w:p>
    <w:p>
      <w:pPr>
        <w:pStyle w:val="BodyText"/>
        <w:spacing w:before="8"/>
        <w:rPr>
          <w:sz w:val="21"/>
        </w:rPr>
      </w:pPr>
    </w:p>
    <w:p>
      <w:pPr>
        <w:pStyle w:val="ListParagraph"/>
        <w:numPr>
          <w:ilvl w:val="1"/>
          <w:numId w:val="1"/>
        </w:numPr>
        <w:tabs>
          <w:tab w:pos="885" w:val="left" w:leader="none"/>
          <w:tab w:pos="887" w:val="left" w:leader="none"/>
        </w:tabs>
        <w:spacing w:line="240" w:lineRule="auto" w:before="1" w:after="0"/>
        <w:ind w:left="886" w:right="235" w:hanging="567"/>
        <w:jc w:val="left"/>
        <w:rPr>
          <w:sz w:val="22"/>
        </w:rPr>
      </w:pPr>
      <w:r>
        <w:rPr>
          <w:w w:val="105"/>
          <w:sz w:val="22"/>
        </w:rPr>
        <w:t>In the event of any conflict or inconsistency between this Agreement and the Rules of Racing, the Rules of Racing prevail to the extent of the conflict or</w:t>
      </w:r>
      <w:r>
        <w:rPr>
          <w:spacing w:val="2"/>
          <w:w w:val="105"/>
          <w:sz w:val="22"/>
        </w:rPr>
        <w:t> </w:t>
      </w:r>
      <w:r>
        <w:rPr>
          <w:w w:val="105"/>
          <w:sz w:val="22"/>
        </w:rPr>
        <w:t>inconsistency.</w:t>
      </w:r>
    </w:p>
    <w:p>
      <w:pPr>
        <w:spacing w:after="0" w:line="240" w:lineRule="auto"/>
        <w:jc w:val="left"/>
        <w:rPr>
          <w:sz w:val="22"/>
        </w:rPr>
        <w:sectPr>
          <w:footerReference w:type="default" r:id="rId6"/>
          <w:pgSz w:w="11900" w:h="16860"/>
          <w:pgMar w:footer="761" w:header="0" w:top="1160" w:bottom="960" w:left="900" w:right="980"/>
          <w:pgNumType w:start="2"/>
        </w:sectPr>
      </w:pPr>
    </w:p>
    <w:p>
      <w:pPr>
        <w:pStyle w:val="ListParagraph"/>
        <w:numPr>
          <w:ilvl w:val="1"/>
          <w:numId w:val="1"/>
        </w:numPr>
        <w:tabs>
          <w:tab w:pos="887" w:val="left" w:leader="none"/>
        </w:tabs>
        <w:spacing w:line="240" w:lineRule="auto" w:before="69" w:after="0"/>
        <w:ind w:left="886" w:right="226" w:hanging="567"/>
        <w:jc w:val="both"/>
        <w:rPr>
          <w:sz w:val="22"/>
        </w:rPr>
      </w:pPr>
      <w:r>
        <w:rPr>
          <w:sz w:val="22"/>
        </w:rPr>
        <w:t>Save in the case of Promoter Syndicates (which are not subject to this Agreement), where an Owner’s interest is as part of a Syndicate Ownership Interest, for the purposes of this Agreement and purposes related to</w:t>
      </w:r>
      <w:r>
        <w:rPr>
          <w:spacing w:val="-11"/>
          <w:sz w:val="22"/>
        </w:rPr>
        <w:t> </w:t>
      </w:r>
      <w:r>
        <w:rPr>
          <w:sz w:val="22"/>
        </w:rPr>
        <w:t>it:</w:t>
      </w:r>
    </w:p>
    <w:p>
      <w:pPr>
        <w:pStyle w:val="BodyText"/>
        <w:spacing w:before="11"/>
        <w:rPr>
          <w:sz w:val="21"/>
        </w:rPr>
      </w:pPr>
    </w:p>
    <w:p>
      <w:pPr>
        <w:pStyle w:val="ListParagraph"/>
        <w:numPr>
          <w:ilvl w:val="2"/>
          <w:numId w:val="1"/>
        </w:numPr>
        <w:tabs>
          <w:tab w:pos="1453" w:val="left" w:leader="none"/>
        </w:tabs>
        <w:spacing w:line="240" w:lineRule="auto" w:before="0" w:after="0"/>
        <w:ind w:left="1452" w:right="229" w:hanging="554"/>
        <w:jc w:val="both"/>
        <w:rPr>
          <w:sz w:val="22"/>
        </w:rPr>
      </w:pPr>
      <w:r>
        <w:rPr>
          <w:sz w:val="22"/>
        </w:rPr>
        <w:t>the Syndicate Manager shall be responsible for representing the Syndicate (including for registering the Syndicate as a Co-owner by lodging a HRF or other relevant registration form for the Syndicate with Racing Australia, including lodging a registration form with Racing Australia evidencing a change in that Syndicate’s interest in a Horse owned by the Horse Ownership</w:t>
      </w:r>
      <w:r>
        <w:rPr>
          <w:spacing w:val="-21"/>
          <w:sz w:val="22"/>
        </w:rPr>
        <w:t> </w:t>
      </w:r>
      <w:r>
        <w:rPr>
          <w:sz w:val="22"/>
        </w:rPr>
        <w:t>Venture);</w:t>
      </w:r>
    </w:p>
    <w:p>
      <w:pPr>
        <w:pStyle w:val="BodyText"/>
        <w:spacing w:before="1"/>
      </w:pPr>
    </w:p>
    <w:p>
      <w:pPr>
        <w:pStyle w:val="ListParagraph"/>
        <w:numPr>
          <w:ilvl w:val="2"/>
          <w:numId w:val="1"/>
        </w:numPr>
        <w:tabs>
          <w:tab w:pos="1453" w:val="left" w:leader="none"/>
        </w:tabs>
        <w:spacing w:line="240" w:lineRule="auto" w:before="0" w:after="0"/>
        <w:ind w:left="1452" w:right="234" w:hanging="554"/>
        <w:jc w:val="both"/>
        <w:rPr>
          <w:sz w:val="22"/>
        </w:rPr>
      </w:pPr>
      <w:r>
        <w:rPr>
          <w:sz w:val="22"/>
        </w:rPr>
        <w:t>the Syndicate shall be deemed to be the only Owner of the Syndicate Ownership Interest as if it was a separate legal entity, and the Syndicate Manager its expressly authorised legal</w:t>
      </w:r>
      <w:r>
        <w:rPr>
          <w:spacing w:val="-12"/>
          <w:sz w:val="22"/>
        </w:rPr>
        <w:t> </w:t>
      </w:r>
      <w:r>
        <w:rPr>
          <w:sz w:val="22"/>
        </w:rPr>
        <w:t>representative;</w:t>
      </w:r>
    </w:p>
    <w:p>
      <w:pPr>
        <w:pStyle w:val="BodyText"/>
        <w:spacing w:before="7"/>
        <w:rPr>
          <w:sz w:val="21"/>
        </w:rPr>
      </w:pPr>
    </w:p>
    <w:p>
      <w:pPr>
        <w:pStyle w:val="ListParagraph"/>
        <w:numPr>
          <w:ilvl w:val="2"/>
          <w:numId w:val="1"/>
        </w:numPr>
        <w:tabs>
          <w:tab w:pos="1453" w:val="left" w:leader="none"/>
        </w:tabs>
        <w:spacing w:line="240" w:lineRule="auto" w:before="1" w:after="0"/>
        <w:ind w:left="1452" w:right="226" w:hanging="554"/>
        <w:jc w:val="both"/>
        <w:rPr>
          <w:sz w:val="22"/>
        </w:rPr>
      </w:pPr>
      <w:r>
        <w:rPr>
          <w:sz w:val="22"/>
        </w:rPr>
        <w:t>all actions and decisions made by the Syndicate Manager pursuant to this Agreement will be taken to be made on behalf of the Syndicate Ownership Interest, and other Co-owners identified in the relevant Racing Australia registration form shall be entitled to deal with the Syndicate Manager on the basis that the Syndicate Manager has full authority to deal with and make decisions in respect of the Syndicate Ownership Interest, and the Syndicate Manager warrants to those other Co-owners that the Syndicate Manager has such</w:t>
      </w:r>
      <w:r>
        <w:rPr>
          <w:spacing w:val="-16"/>
          <w:sz w:val="22"/>
        </w:rPr>
        <w:t> </w:t>
      </w:r>
      <w:r>
        <w:rPr>
          <w:sz w:val="22"/>
        </w:rPr>
        <w:t>authority;</w:t>
      </w:r>
    </w:p>
    <w:p>
      <w:pPr>
        <w:pStyle w:val="BodyText"/>
        <w:spacing w:before="2"/>
      </w:pPr>
    </w:p>
    <w:p>
      <w:pPr>
        <w:pStyle w:val="ListParagraph"/>
        <w:numPr>
          <w:ilvl w:val="2"/>
          <w:numId w:val="1"/>
        </w:numPr>
        <w:tabs>
          <w:tab w:pos="1453" w:val="left" w:leader="none"/>
        </w:tabs>
        <w:spacing w:line="240" w:lineRule="auto" w:before="0" w:after="0"/>
        <w:ind w:left="1452" w:right="221" w:hanging="554"/>
        <w:jc w:val="both"/>
        <w:rPr>
          <w:sz w:val="22"/>
        </w:rPr>
      </w:pPr>
      <w:r>
        <w:rPr>
          <w:sz w:val="22"/>
        </w:rPr>
        <w:t>any action or claim by the Syndicate against other Co-owners identified in the relevant Racing Australia registration form can only be brought on behalf of the Syndicate by the Syndicate Manager, and no member of a Syndicate shall be entitled to separately make any claim or take any action against any other</w:t>
      </w:r>
      <w:r>
        <w:rPr>
          <w:spacing w:val="-28"/>
          <w:sz w:val="22"/>
        </w:rPr>
        <w:t> </w:t>
      </w:r>
      <w:r>
        <w:rPr>
          <w:sz w:val="22"/>
        </w:rPr>
        <w:t>Co-owner;</w:t>
      </w:r>
    </w:p>
    <w:p>
      <w:pPr>
        <w:pStyle w:val="BodyText"/>
      </w:pPr>
    </w:p>
    <w:p>
      <w:pPr>
        <w:pStyle w:val="ListParagraph"/>
        <w:numPr>
          <w:ilvl w:val="2"/>
          <w:numId w:val="1"/>
        </w:numPr>
        <w:tabs>
          <w:tab w:pos="1453" w:val="left" w:leader="none"/>
        </w:tabs>
        <w:spacing w:line="240" w:lineRule="auto" w:before="0" w:after="0"/>
        <w:ind w:left="1452" w:right="227" w:hanging="554"/>
        <w:jc w:val="both"/>
        <w:rPr>
          <w:sz w:val="22"/>
        </w:rPr>
      </w:pPr>
      <w:r>
        <w:rPr>
          <w:sz w:val="22"/>
        </w:rPr>
        <w:t>the Syndicate (as expressly and solely represented by the Syndicate Manager) is a party to this Agreement, but separate members of that Syndicate are not party to this Agreement in their own right;</w:t>
      </w:r>
      <w:r>
        <w:rPr>
          <w:spacing w:val="-8"/>
          <w:sz w:val="22"/>
        </w:rPr>
        <w:t> </w:t>
      </w:r>
      <w:r>
        <w:rPr>
          <w:sz w:val="22"/>
        </w:rPr>
        <w:t>and</w:t>
      </w:r>
    </w:p>
    <w:p>
      <w:pPr>
        <w:pStyle w:val="BodyText"/>
        <w:spacing w:before="10"/>
        <w:rPr>
          <w:sz w:val="21"/>
        </w:rPr>
      </w:pPr>
    </w:p>
    <w:p>
      <w:pPr>
        <w:pStyle w:val="ListParagraph"/>
        <w:numPr>
          <w:ilvl w:val="2"/>
          <w:numId w:val="1"/>
        </w:numPr>
        <w:tabs>
          <w:tab w:pos="1453" w:val="left" w:leader="none"/>
        </w:tabs>
        <w:spacing w:line="240" w:lineRule="auto" w:before="0" w:after="0"/>
        <w:ind w:left="1452" w:right="231" w:hanging="554"/>
        <w:jc w:val="both"/>
        <w:rPr>
          <w:sz w:val="22"/>
        </w:rPr>
      </w:pPr>
      <w:r>
        <w:rPr>
          <w:sz w:val="22"/>
        </w:rPr>
        <w:t>the Syndicate Manager indemnifies all other Co-owners identified in the relevant Racing Australia registration form in relation to the Syndicate against any claim or demand made, or loss or damage caused by a member of the Syndicate Manager’s Syndicate to another Co-owner in respect of the Horse Ownership</w:t>
      </w:r>
      <w:r>
        <w:rPr>
          <w:spacing w:val="-24"/>
          <w:sz w:val="22"/>
        </w:rPr>
        <w:t> </w:t>
      </w:r>
      <w:r>
        <w:rPr>
          <w:sz w:val="22"/>
        </w:rPr>
        <w:t>Venture.</w:t>
      </w:r>
    </w:p>
    <w:p>
      <w:pPr>
        <w:pStyle w:val="BodyText"/>
        <w:spacing w:before="9"/>
        <w:rPr>
          <w:sz w:val="21"/>
        </w:rPr>
      </w:pPr>
    </w:p>
    <w:p>
      <w:pPr>
        <w:pStyle w:val="ListParagraph"/>
        <w:numPr>
          <w:ilvl w:val="1"/>
          <w:numId w:val="1"/>
        </w:numPr>
        <w:tabs>
          <w:tab w:pos="887" w:val="left" w:leader="none"/>
        </w:tabs>
        <w:spacing w:line="240" w:lineRule="auto" w:before="0" w:after="0"/>
        <w:ind w:left="886" w:right="227" w:hanging="567"/>
        <w:jc w:val="both"/>
        <w:rPr>
          <w:sz w:val="22"/>
        </w:rPr>
      </w:pPr>
      <w:r>
        <w:rPr>
          <w:sz w:val="22"/>
        </w:rPr>
        <w:t>Words or </w:t>
      </w:r>
      <w:r>
        <w:rPr>
          <w:spacing w:val="-4"/>
          <w:sz w:val="22"/>
        </w:rPr>
        <w:t>phrases </w:t>
      </w:r>
      <w:r>
        <w:rPr>
          <w:sz w:val="22"/>
        </w:rPr>
        <w:t>in </w:t>
      </w:r>
      <w:r>
        <w:rPr>
          <w:spacing w:val="-3"/>
          <w:sz w:val="22"/>
        </w:rPr>
        <w:t>this </w:t>
      </w:r>
      <w:r>
        <w:rPr>
          <w:spacing w:val="-4"/>
          <w:sz w:val="22"/>
        </w:rPr>
        <w:t>Agreement </w:t>
      </w:r>
      <w:r>
        <w:rPr>
          <w:spacing w:val="-3"/>
          <w:sz w:val="22"/>
        </w:rPr>
        <w:t>have </w:t>
      </w:r>
      <w:r>
        <w:rPr>
          <w:sz w:val="22"/>
        </w:rPr>
        <w:t>the </w:t>
      </w:r>
      <w:r>
        <w:rPr>
          <w:spacing w:val="-4"/>
          <w:sz w:val="22"/>
        </w:rPr>
        <w:t>meaning </w:t>
      </w:r>
      <w:r>
        <w:rPr>
          <w:spacing w:val="-3"/>
          <w:sz w:val="22"/>
        </w:rPr>
        <w:t>given </w:t>
      </w:r>
      <w:r>
        <w:rPr>
          <w:sz w:val="22"/>
        </w:rPr>
        <w:t>to them in the </w:t>
      </w:r>
      <w:r>
        <w:rPr>
          <w:spacing w:val="-4"/>
          <w:sz w:val="22"/>
        </w:rPr>
        <w:t>Dictionary </w:t>
      </w:r>
      <w:r>
        <w:rPr>
          <w:sz w:val="22"/>
        </w:rPr>
        <w:t>which is</w:t>
      </w:r>
      <w:r>
        <w:rPr>
          <w:spacing w:val="-6"/>
          <w:sz w:val="22"/>
        </w:rPr>
        <w:t> </w:t>
      </w:r>
      <w:r>
        <w:rPr>
          <w:spacing w:val="-4"/>
          <w:sz w:val="22"/>
        </w:rPr>
        <w:t>Schedule</w:t>
      </w:r>
      <w:r>
        <w:rPr>
          <w:spacing w:val="-9"/>
          <w:sz w:val="22"/>
        </w:rPr>
        <w:t> </w:t>
      </w:r>
      <w:r>
        <w:rPr>
          <w:sz w:val="22"/>
        </w:rPr>
        <w:t>1</w:t>
      </w:r>
      <w:r>
        <w:rPr>
          <w:spacing w:val="-7"/>
          <w:sz w:val="22"/>
        </w:rPr>
        <w:t> </w:t>
      </w:r>
      <w:r>
        <w:rPr>
          <w:sz w:val="22"/>
        </w:rPr>
        <w:t>to</w:t>
      </w:r>
      <w:r>
        <w:rPr>
          <w:spacing w:val="-9"/>
          <w:sz w:val="22"/>
        </w:rPr>
        <w:t> </w:t>
      </w:r>
      <w:r>
        <w:rPr>
          <w:spacing w:val="-3"/>
          <w:sz w:val="22"/>
        </w:rPr>
        <w:t>this</w:t>
      </w:r>
      <w:r>
        <w:rPr>
          <w:spacing w:val="-8"/>
          <w:sz w:val="22"/>
        </w:rPr>
        <w:t> </w:t>
      </w:r>
      <w:r>
        <w:rPr>
          <w:spacing w:val="-4"/>
          <w:sz w:val="22"/>
        </w:rPr>
        <w:t>Agreement</w:t>
      </w:r>
      <w:r>
        <w:rPr>
          <w:spacing w:val="-8"/>
          <w:sz w:val="22"/>
        </w:rPr>
        <w:t> </w:t>
      </w:r>
      <w:r>
        <w:rPr>
          <w:sz w:val="22"/>
        </w:rPr>
        <w:t>and</w:t>
      </w:r>
      <w:r>
        <w:rPr>
          <w:spacing w:val="-12"/>
          <w:sz w:val="22"/>
        </w:rPr>
        <w:t> </w:t>
      </w:r>
      <w:r>
        <w:rPr>
          <w:sz w:val="22"/>
        </w:rPr>
        <w:t>forms</w:t>
      </w:r>
      <w:r>
        <w:rPr>
          <w:spacing w:val="-6"/>
          <w:sz w:val="22"/>
        </w:rPr>
        <w:t> </w:t>
      </w:r>
      <w:r>
        <w:rPr>
          <w:sz w:val="22"/>
        </w:rPr>
        <w:t>part</w:t>
      </w:r>
      <w:r>
        <w:rPr>
          <w:spacing w:val="-8"/>
          <w:sz w:val="22"/>
        </w:rPr>
        <w:t> </w:t>
      </w:r>
      <w:r>
        <w:rPr>
          <w:spacing w:val="-3"/>
          <w:sz w:val="22"/>
        </w:rPr>
        <w:t>of</w:t>
      </w:r>
      <w:r>
        <w:rPr>
          <w:spacing w:val="-8"/>
          <w:sz w:val="22"/>
        </w:rPr>
        <w:t> </w:t>
      </w:r>
      <w:r>
        <w:rPr>
          <w:spacing w:val="-3"/>
          <w:sz w:val="22"/>
        </w:rPr>
        <w:t>this</w:t>
      </w:r>
      <w:r>
        <w:rPr>
          <w:spacing w:val="-9"/>
          <w:sz w:val="22"/>
        </w:rPr>
        <w:t> </w:t>
      </w:r>
      <w:r>
        <w:rPr>
          <w:sz w:val="22"/>
        </w:rPr>
        <w:t>Agreement.</w:t>
      </w:r>
    </w:p>
    <w:p>
      <w:pPr>
        <w:pStyle w:val="BodyText"/>
        <w:spacing w:before="2"/>
      </w:pPr>
    </w:p>
    <w:p>
      <w:pPr>
        <w:pStyle w:val="ListParagraph"/>
        <w:numPr>
          <w:ilvl w:val="1"/>
          <w:numId w:val="1"/>
        </w:numPr>
        <w:tabs>
          <w:tab w:pos="887" w:val="left" w:leader="none"/>
        </w:tabs>
        <w:spacing w:line="240" w:lineRule="auto" w:before="0" w:after="0"/>
        <w:ind w:left="886" w:right="233" w:hanging="567"/>
        <w:jc w:val="both"/>
        <w:rPr>
          <w:sz w:val="22"/>
        </w:rPr>
      </w:pPr>
      <w:r>
        <w:rPr>
          <w:sz w:val="22"/>
        </w:rPr>
        <w:t>In this Agreement headings and bold typing are included for convenience only and do not affect interpretation and, unless the context otherwise</w:t>
      </w:r>
      <w:r>
        <w:rPr>
          <w:spacing w:val="-22"/>
          <w:sz w:val="22"/>
        </w:rPr>
        <w:t> </w:t>
      </w:r>
      <w:r>
        <w:rPr>
          <w:sz w:val="22"/>
        </w:rPr>
        <w:t>requires:</w:t>
      </w:r>
    </w:p>
    <w:p>
      <w:pPr>
        <w:pStyle w:val="BodyText"/>
        <w:spacing w:before="11"/>
        <w:rPr>
          <w:sz w:val="21"/>
        </w:rPr>
      </w:pPr>
    </w:p>
    <w:p>
      <w:pPr>
        <w:pStyle w:val="ListParagraph"/>
        <w:numPr>
          <w:ilvl w:val="2"/>
          <w:numId w:val="1"/>
        </w:numPr>
        <w:tabs>
          <w:tab w:pos="1452" w:val="left" w:leader="none"/>
          <w:tab w:pos="1453" w:val="left" w:leader="none"/>
        </w:tabs>
        <w:spacing w:line="240" w:lineRule="auto" w:before="0" w:after="0"/>
        <w:ind w:left="1452" w:right="0" w:hanging="554"/>
        <w:jc w:val="left"/>
        <w:rPr>
          <w:sz w:val="22"/>
        </w:rPr>
      </w:pPr>
      <w:r>
        <w:rPr>
          <w:sz w:val="22"/>
        </w:rPr>
        <w:t>a reference to a word includes the singular and the plural of the word and vice</w:t>
      </w:r>
      <w:r>
        <w:rPr>
          <w:spacing w:val="-28"/>
          <w:sz w:val="22"/>
        </w:rPr>
        <w:t> </w:t>
      </w:r>
      <w:r>
        <w:rPr>
          <w:sz w:val="22"/>
        </w:rPr>
        <w:t>versa;</w:t>
      </w:r>
    </w:p>
    <w:p>
      <w:pPr>
        <w:pStyle w:val="BodyText"/>
        <w:spacing w:before="1"/>
      </w:pPr>
    </w:p>
    <w:p>
      <w:pPr>
        <w:pStyle w:val="ListParagraph"/>
        <w:numPr>
          <w:ilvl w:val="2"/>
          <w:numId w:val="1"/>
        </w:numPr>
        <w:tabs>
          <w:tab w:pos="1452" w:val="left" w:leader="none"/>
          <w:tab w:pos="1453" w:val="left" w:leader="none"/>
        </w:tabs>
        <w:spacing w:line="240" w:lineRule="auto" w:before="0" w:after="0"/>
        <w:ind w:left="1452" w:right="0" w:hanging="554"/>
        <w:jc w:val="left"/>
        <w:rPr>
          <w:sz w:val="22"/>
        </w:rPr>
      </w:pPr>
      <w:r>
        <w:rPr>
          <w:sz w:val="22"/>
        </w:rPr>
        <w:t>a reference to a gender includes any</w:t>
      </w:r>
      <w:r>
        <w:rPr>
          <w:spacing w:val="-17"/>
          <w:sz w:val="22"/>
        </w:rPr>
        <w:t> </w:t>
      </w:r>
      <w:r>
        <w:rPr>
          <w:sz w:val="22"/>
        </w:rPr>
        <w:t>gender;</w:t>
      </w:r>
    </w:p>
    <w:p>
      <w:pPr>
        <w:pStyle w:val="BodyText"/>
        <w:spacing w:before="10"/>
        <w:rPr>
          <w:sz w:val="21"/>
        </w:rPr>
      </w:pPr>
    </w:p>
    <w:p>
      <w:pPr>
        <w:pStyle w:val="ListParagraph"/>
        <w:numPr>
          <w:ilvl w:val="2"/>
          <w:numId w:val="1"/>
        </w:numPr>
        <w:tabs>
          <w:tab w:pos="1453" w:val="left" w:leader="none"/>
        </w:tabs>
        <w:spacing w:line="240" w:lineRule="auto" w:before="0" w:after="0"/>
        <w:ind w:left="1452" w:right="240" w:hanging="554"/>
        <w:jc w:val="both"/>
        <w:rPr>
          <w:sz w:val="22"/>
        </w:rPr>
      </w:pPr>
      <w:r>
        <w:rPr>
          <w:sz w:val="22"/>
        </w:rPr>
        <w:t>if a word or phrase is defined, then other parts of speech and grammatical forms of that word or phrase have a corresponding</w:t>
      </w:r>
      <w:r>
        <w:rPr>
          <w:spacing w:val="-11"/>
          <w:sz w:val="22"/>
        </w:rPr>
        <w:t> </w:t>
      </w:r>
      <w:r>
        <w:rPr>
          <w:sz w:val="22"/>
        </w:rPr>
        <w:t>meaning;</w:t>
      </w:r>
    </w:p>
    <w:p>
      <w:pPr>
        <w:pStyle w:val="BodyText"/>
        <w:spacing w:before="8"/>
        <w:rPr>
          <w:sz w:val="21"/>
        </w:rPr>
      </w:pPr>
    </w:p>
    <w:p>
      <w:pPr>
        <w:pStyle w:val="ListParagraph"/>
        <w:numPr>
          <w:ilvl w:val="2"/>
          <w:numId w:val="1"/>
        </w:numPr>
        <w:tabs>
          <w:tab w:pos="1453" w:val="left" w:leader="none"/>
        </w:tabs>
        <w:spacing w:line="240" w:lineRule="auto" w:before="0" w:after="0"/>
        <w:ind w:left="1452" w:right="225" w:hanging="554"/>
        <w:jc w:val="both"/>
        <w:rPr>
          <w:sz w:val="22"/>
        </w:rPr>
      </w:pPr>
      <w:r>
        <w:rPr>
          <w:sz w:val="22"/>
        </w:rPr>
        <w:t>a term which refers to a person includes a person in any capacity, a body corporate, an unincorporated body (for example some joint ventures, a society or association), a trust, or a</w:t>
      </w:r>
      <w:r>
        <w:rPr>
          <w:spacing w:val="-9"/>
          <w:sz w:val="22"/>
        </w:rPr>
        <w:t> </w:t>
      </w:r>
      <w:r>
        <w:rPr>
          <w:sz w:val="22"/>
        </w:rPr>
        <w:t>partnership.</w:t>
      </w:r>
    </w:p>
    <w:p>
      <w:pPr>
        <w:pStyle w:val="BodyText"/>
        <w:spacing w:before="8"/>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t>HOW DECISIONS CAN BE MADE BY</w:t>
      </w:r>
      <w:r>
        <w:rPr>
          <w:spacing w:val="-18"/>
        </w:rPr>
        <w:t> </w:t>
      </w:r>
      <w:r>
        <w:rPr/>
        <w:t>CO-OWNERS</w:t>
      </w:r>
    </w:p>
    <w:p>
      <w:pPr>
        <w:pStyle w:val="BodyText"/>
        <w:spacing w:before="5"/>
        <w:rPr>
          <w:b/>
        </w:rPr>
      </w:pPr>
    </w:p>
    <w:p>
      <w:pPr>
        <w:pStyle w:val="ListParagraph"/>
        <w:numPr>
          <w:ilvl w:val="1"/>
          <w:numId w:val="1"/>
        </w:numPr>
        <w:tabs>
          <w:tab w:pos="887" w:val="left" w:leader="none"/>
        </w:tabs>
        <w:spacing w:line="240" w:lineRule="auto" w:before="0" w:after="0"/>
        <w:ind w:left="886" w:right="337" w:hanging="567"/>
        <w:jc w:val="both"/>
        <w:rPr>
          <w:sz w:val="22"/>
        </w:rPr>
      </w:pPr>
      <w:r>
        <w:rPr>
          <w:sz w:val="22"/>
        </w:rPr>
        <w:t>No regular, annual, special or other meetings of </w:t>
      </w:r>
      <w:r>
        <w:rPr>
          <w:spacing w:val="-4"/>
          <w:sz w:val="22"/>
        </w:rPr>
        <w:t>Co-owners </w:t>
      </w:r>
      <w:r>
        <w:rPr>
          <w:sz w:val="22"/>
        </w:rPr>
        <w:t>are required to be held. However, if a decision in relation to the Horse Ownership Venture requires Majority Consent,</w:t>
      </w:r>
      <w:r>
        <w:rPr>
          <w:spacing w:val="36"/>
          <w:sz w:val="22"/>
        </w:rPr>
        <w:t> </w:t>
      </w:r>
      <w:r>
        <w:rPr>
          <w:sz w:val="22"/>
        </w:rPr>
        <w:t>Special</w:t>
      </w:r>
      <w:r>
        <w:rPr>
          <w:spacing w:val="35"/>
          <w:sz w:val="22"/>
        </w:rPr>
        <w:t> </w:t>
      </w:r>
      <w:r>
        <w:rPr>
          <w:sz w:val="22"/>
        </w:rPr>
        <w:t>Consent,</w:t>
      </w:r>
      <w:r>
        <w:rPr>
          <w:spacing w:val="36"/>
          <w:sz w:val="22"/>
        </w:rPr>
        <w:t> </w:t>
      </w:r>
      <w:r>
        <w:rPr>
          <w:sz w:val="22"/>
        </w:rPr>
        <w:t>or</w:t>
      </w:r>
      <w:r>
        <w:rPr>
          <w:spacing w:val="36"/>
          <w:sz w:val="22"/>
        </w:rPr>
        <w:t> </w:t>
      </w:r>
      <w:r>
        <w:rPr>
          <w:sz w:val="22"/>
        </w:rPr>
        <w:t>Unanimous</w:t>
      </w:r>
      <w:r>
        <w:rPr>
          <w:spacing w:val="35"/>
          <w:sz w:val="22"/>
        </w:rPr>
        <w:t> </w:t>
      </w:r>
      <w:r>
        <w:rPr>
          <w:sz w:val="22"/>
        </w:rPr>
        <w:t>Consent,</w:t>
      </w:r>
      <w:r>
        <w:rPr>
          <w:spacing w:val="33"/>
          <w:sz w:val="22"/>
        </w:rPr>
        <w:t> </w:t>
      </w:r>
      <w:r>
        <w:rPr>
          <w:sz w:val="22"/>
        </w:rPr>
        <w:t>the</w:t>
      </w:r>
      <w:r>
        <w:rPr>
          <w:spacing w:val="35"/>
          <w:sz w:val="22"/>
        </w:rPr>
        <w:t> </w:t>
      </w:r>
      <w:r>
        <w:rPr>
          <w:sz w:val="22"/>
        </w:rPr>
        <w:t>Managing</w:t>
      </w:r>
      <w:r>
        <w:rPr>
          <w:spacing w:val="35"/>
          <w:sz w:val="22"/>
        </w:rPr>
        <w:t> </w:t>
      </w:r>
      <w:r>
        <w:rPr>
          <w:sz w:val="22"/>
        </w:rPr>
        <w:t>Owner</w:t>
      </w:r>
      <w:r>
        <w:rPr>
          <w:spacing w:val="35"/>
          <w:sz w:val="22"/>
        </w:rPr>
        <w:t> </w:t>
      </w:r>
      <w:r>
        <w:rPr>
          <w:sz w:val="22"/>
        </w:rPr>
        <w:t>must</w:t>
      </w:r>
      <w:r>
        <w:rPr>
          <w:spacing w:val="33"/>
          <w:sz w:val="22"/>
        </w:rPr>
        <w:t> </w:t>
      </w:r>
      <w:r>
        <w:rPr>
          <w:sz w:val="22"/>
        </w:rPr>
        <w:t>provide</w:t>
      </w:r>
    </w:p>
    <w:p>
      <w:pPr>
        <w:spacing w:after="0" w:line="240" w:lineRule="auto"/>
        <w:jc w:val="both"/>
        <w:rPr>
          <w:sz w:val="22"/>
        </w:rPr>
        <w:sectPr>
          <w:pgSz w:w="11900" w:h="16860"/>
          <w:pgMar w:header="0" w:footer="761" w:top="1060" w:bottom="960" w:left="900" w:right="980"/>
        </w:sectPr>
      </w:pPr>
    </w:p>
    <w:p>
      <w:pPr>
        <w:pStyle w:val="BodyText"/>
        <w:spacing w:before="69"/>
        <w:ind w:left="886" w:right="341"/>
        <w:jc w:val="both"/>
      </w:pPr>
      <w:r>
        <w:rPr/>
        <w:t>reasonable notice to all of the Co-owners in relation to the issue to be decided upon. Notice can be provided by any of the means referred to in clause 10 of this Agreement, or verbally (either in person or via telephone).</w:t>
      </w:r>
    </w:p>
    <w:p>
      <w:pPr>
        <w:pStyle w:val="BodyText"/>
        <w:spacing w:before="1"/>
      </w:pPr>
    </w:p>
    <w:p>
      <w:pPr>
        <w:pStyle w:val="ListParagraph"/>
        <w:numPr>
          <w:ilvl w:val="1"/>
          <w:numId w:val="1"/>
        </w:numPr>
        <w:tabs>
          <w:tab w:pos="887" w:val="left" w:leader="none"/>
        </w:tabs>
        <w:spacing w:line="240" w:lineRule="auto" w:before="1" w:after="0"/>
        <w:ind w:left="886" w:right="335" w:hanging="567"/>
        <w:jc w:val="both"/>
        <w:rPr>
          <w:sz w:val="22"/>
        </w:rPr>
      </w:pPr>
      <w:r>
        <w:rPr>
          <w:sz w:val="22"/>
        </w:rPr>
        <w:t>The Managing Owner is bound by decisions made, or approvals given by the Majority Consent, Special Consent or Unanimous Consent of the Co-owners, as set out in this Agreement.</w:t>
      </w:r>
    </w:p>
    <w:p>
      <w:pPr>
        <w:pStyle w:val="BodyText"/>
        <w:spacing w:before="9"/>
        <w:rPr>
          <w:sz w:val="21"/>
        </w:rPr>
      </w:pPr>
    </w:p>
    <w:p>
      <w:pPr>
        <w:pStyle w:val="ListParagraph"/>
        <w:numPr>
          <w:ilvl w:val="1"/>
          <w:numId w:val="1"/>
        </w:numPr>
        <w:tabs>
          <w:tab w:pos="885" w:val="left" w:leader="none"/>
          <w:tab w:pos="887" w:val="left" w:leader="none"/>
        </w:tabs>
        <w:spacing w:line="240" w:lineRule="auto" w:before="1" w:after="0"/>
        <w:ind w:left="886" w:right="340" w:hanging="567"/>
        <w:jc w:val="left"/>
        <w:rPr>
          <w:sz w:val="22"/>
        </w:rPr>
      </w:pPr>
      <w:r>
        <w:rPr>
          <w:sz w:val="22"/>
        </w:rPr>
        <w:t>Though formal meetings are not required, any decision that requires a consent, approval or resolution of the Co-owners may be decided at a meeting of the Co-owners</w:t>
      </w:r>
      <w:r>
        <w:rPr>
          <w:spacing w:val="-17"/>
          <w:sz w:val="22"/>
        </w:rPr>
        <w:t> </w:t>
      </w:r>
      <w:r>
        <w:rPr>
          <w:sz w:val="22"/>
        </w:rPr>
        <w:t>called:</w:t>
      </w:r>
    </w:p>
    <w:p>
      <w:pPr>
        <w:pStyle w:val="BodyText"/>
        <w:spacing w:before="8"/>
        <w:rPr>
          <w:sz w:val="21"/>
        </w:rPr>
      </w:pPr>
    </w:p>
    <w:p>
      <w:pPr>
        <w:pStyle w:val="ListParagraph"/>
        <w:numPr>
          <w:ilvl w:val="2"/>
          <w:numId w:val="1"/>
        </w:numPr>
        <w:tabs>
          <w:tab w:pos="1452" w:val="left" w:leader="none"/>
          <w:tab w:pos="1453" w:val="left" w:leader="none"/>
        </w:tabs>
        <w:spacing w:line="240" w:lineRule="auto" w:before="0" w:after="0"/>
        <w:ind w:left="1452" w:right="0" w:hanging="583"/>
        <w:jc w:val="left"/>
        <w:rPr>
          <w:sz w:val="22"/>
        </w:rPr>
      </w:pPr>
      <w:r>
        <w:rPr>
          <w:sz w:val="22"/>
        </w:rPr>
        <w:t>by the Managing Owner;</w:t>
      </w:r>
      <w:r>
        <w:rPr>
          <w:spacing w:val="-38"/>
          <w:sz w:val="22"/>
        </w:rPr>
        <w:t> </w:t>
      </w:r>
      <w:r>
        <w:rPr>
          <w:sz w:val="22"/>
        </w:rPr>
        <w:t>or</w:t>
      </w:r>
    </w:p>
    <w:p>
      <w:pPr>
        <w:pStyle w:val="BodyText"/>
      </w:pPr>
    </w:p>
    <w:p>
      <w:pPr>
        <w:pStyle w:val="ListParagraph"/>
        <w:numPr>
          <w:ilvl w:val="2"/>
          <w:numId w:val="1"/>
        </w:numPr>
        <w:tabs>
          <w:tab w:pos="1453" w:val="left" w:leader="none"/>
        </w:tabs>
        <w:spacing w:line="240" w:lineRule="auto" w:before="1" w:after="0"/>
        <w:ind w:left="1452" w:right="224" w:hanging="583"/>
        <w:jc w:val="both"/>
        <w:rPr>
          <w:sz w:val="22"/>
        </w:rPr>
      </w:pPr>
      <w:r>
        <w:rPr>
          <w:sz w:val="22"/>
        </w:rPr>
        <w:t>at the written request of Co-owners holding, in aggregate, at least 10% of the ownership interest in</w:t>
      </w:r>
      <w:r>
        <w:rPr>
          <w:spacing w:val="-1"/>
          <w:sz w:val="22"/>
        </w:rPr>
        <w:t> </w:t>
      </w:r>
      <w:r>
        <w:rPr>
          <w:sz w:val="22"/>
        </w:rPr>
        <w:t>theHorse.</w:t>
      </w:r>
    </w:p>
    <w:p>
      <w:pPr>
        <w:pStyle w:val="BodyText"/>
        <w:spacing w:before="9"/>
        <w:rPr>
          <w:sz w:val="21"/>
        </w:rPr>
      </w:pPr>
    </w:p>
    <w:p>
      <w:pPr>
        <w:pStyle w:val="ListParagraph"/>
        <w:numPr>
          <w:ilvl w:val="1"/>
          <w:numId w:val="1"/>
        </w:numPr>
        <w:tabs>
          <w:tab w:pos="885" w:val="left" w:leader="none"/>
          <w:tab w:pos="887" w:val="left" w:leader="none"/>
        </w:tabs>
        <w:spacing w:line="240" w:lineRule="auto" w:before="0" w:after="0"/>
        <w:ind w:left="886" w:right="0" w:hanging="567"/>
        <w:jc w:val="left"/>
        <w:rPr>
          <w:sz w:val="22"/>
        </w:rPr>
      </w:pPr>
      <w:r>
        <w:rPr>
          <w:sz w:val="22"/>
        </w:rPr>
        <w:t>The Co-owners may regulate their meetings (if </w:t>
      </w:r>
      <w:r>
        <w:rPr>
          <w:spacing w:val="-4"/>
          <w:sz w:val="22"/>
        </w:rPr>
        <w:t>any) </w:t>
      </w:r>
      <w:r>
        <w:rPr>
          <w:sz w:val="22"/>
        </w:rPr>
        <w:t>as they think fit, provided</w:t>
      </w:r>
      <w:r>
        <w:rPr>
          <w:spacing w:val="-21"/>
          <w:sz w:val="22"/>
        </w:rPr>
        <w:t> </w:t>
      </w:r>
      <w:r>
        <w:rPr>
          <w:sz w:val="22"/>
        </w:rPr>
        <w:t>that:</w:t>
      </w:r>
    </w:p>
    <w:p>
      <w:pPr>
        <w:pStyle w:val="BodyText"/>
      </w:pPr>
    </w:p>
    <w:p>
      <w:pPr>
        <w:pStyle w:val="ListParagraph"/>
        <w:numPr>
          <w:ilvl w:val="2"/>
          <w:numId w:val="1"/>
        </w:numPr>
        <w:tabs>
          <w:tab w:pos="1453" w:val="left" w:leader="none"/>
        </w:tabs>
        <w:spacing w:line="240" w:lineRule="auto" w:before="0" w:after="0"/>
        <w:ind w:left="1452" w:right="228" w:hanging="583"/>
        <w:jc w:val="both"/>
        <w:rPr>
          <w:sz w:val="22"/>
        </w:rPr>
      </w:pPr>
      <w:r>
        <w:rPr>
          <w:sz w:val="22"/>
        </w:rPr>
        <w:t>reasonable notice (which must not be less than a period of 5 days in advance of a meeting unless otherwise agreed by Unanimous Consent of the Co-owners) in writing of a proposed meeting must be given by the Managing Owner to each Co-owner, and each Co-owner attending must be afforded the opportunity </w:t>
      </w:r>
      <w:r>
        <w:rPr>
          <w:spacing w:val="1"/>
          <w:sz w:val="22"/>
        </w:rPr>
        <w:t>to </w:t>
      </w:r>
      <w:r>
        <w:rPr>
          <w:sz w:val="22"/>
        </w:rPr>
        <w:t>vote on the relevant decision/s;</w:t>
      </w:r>
    </w:p>
    <w:p>
      <w:pPr>
        <w:pStyle w:val="BodyText"/>
        <w:spacing w:before="10"/>
        <w:rPr>
          <w:sz w:val="21"/>
        </w:rPr>
      </w:pPr>
    </w:p>
    <w:p>
      <w:pPr>
        <w:pStyle w:val="ListParagraph"/>
        <w:numPr>
          <w:ilvl w:val="2"/>
          <w:numId w:val="1"/>
        </w:numPr>
        <w:tabs>
          <w:tab w:pos="1453" w:val="left" w:leader="none"/>
        </w:tabs>
        <w:spacing w:line="240" w:lineRule="auto" w:before="1" w:after="0"/>
        <w:ind w:left="1452" w:right="222" w:hanging="583"/>
        <w:jc w:val="both"/>
        <w:rPr>
          <w:sz w:val="22"/>
        </w:rPr>
      </w:pPr>
      <w:r>
        <w:rPr>
          <w:sz w:val="22"/>
        </w:rPr>
        <w:t>the quorum for a meeting of the Co-owners shall be Co-owners present in person or by proxy and who together hold not less than a </w:t>
      </w:r>
      <w:r>
        <w:rPr>
          <w:spacing w:val="1"/>
          <w:sz w:val="22"/>
        </w:rPr>
        <w:t>50% </w:t>
      </w:r>
      <w:r>
        <w:rPr>
          <w:spacing w:val="3"/>
          <w:sz w:val="22"/>
        </w:rPr>
        <w:t>ownership interest </w:t>
      </w:r>
      <w:r>
        <w:rPr>
          <w:sz w:val="22"/>
        </w:rPr>
        <w:t>in </w:t>
      </w:r>
      <w:r>
        <w:rPr>
          <w:spacing w:val="1"/>
          <w:sz w:val="22"/>
        </w:rPr>
        <w:t>the  </w:t>
      </w:r>
      <w:r>
        <w:rPr>
          <w:spacing w:val="3"/>
          <w:sz w:val="22"/>
        </w:rPr>
        <w:t>Horse, </w:t>
      </w:r>
      <w:r>
        <w:rPr>
          <w:sz w:val="22"/>
        </w:rPr>
        <w:t>and if present, the Managing Owner shall be the chairperson. Otherwise, the Co-owners present shall elect a chairperson. The chairperson shall not have a second or casting</w:t>
      </w:r>
      <w:r>
        <w:rPr>
          <w:spacing w:val="-12"/>
          <w:sz w:val="22"/>
        </w:rPr>
        <w:t> </w:t>
      </w:r>
      <w:r>
        <w:rPr>
          <w:spacing w:val="-4"/>
          <w:sz w:val="22"/>
        </w:rPr>
        <w:t>vote.</w:t>
      </w:r>
    </w:p>
    <w:p>
      <w:pPr>
        <w:pStyle w:val="BodyText"/>
        <w:spacing w:before="10"/>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A</w:t>
      </w:r>
      <w:r>
        <w:rPr>
          <w:spacing w:val="-12"/>
          <w:w w:val="105"/>
        </w:rPr>
        <w:t> </w:t>
      </w:r>
      <w:r>
        <w:rPr>
          <w:w w:val="105"/>
        </w:rPr>
        <w:t>CO-OWNER’S</w:t>
      </w:r>
      <w:r>
        <w:rPr>
          <w:spacing w:val="-8"/>
          <w:w w:val="105"/>
        </w:rPr>
        <w:t> </w:t>
      </w:r>
      <w:r>
        <w:rPr>
          <w:w w:val="105"/>
        </w:rPr>
        <w:t>INTEREST,</w:t>
      </w:r>
      <w:r>
        <w:rPr>
          <w:spacing w:val="-8"/>
          <w:w w:val="105"/>
        </w:rPr>
        <w:t> </w:t>
      </w:r>
      <w:r>
        <w:rPr>
          <w:w w:val="105"/>
        </w:rPr>
        <w:t>AND</w:t>
      </w:r>
      <w:r>
        <w:rPr>
          <w:spacing w:val="-10"/>
          <w:w w:val="105"/>
        </w:rPr>
        <w:t> </w:t>
      </w:r>
      <w:r>
        <w:rPr>
          <w:w w:val="105"/>
        </w:rPr>
        <w:t>THE</w:t>
      </w:r>
      <w:r>
        <w:rPr>
          <w:spacing w:val="-7"/>
          <w:w w:val="105"/>
        </w:rPr>
        <w:t> </w:t>
      </w:r>
      <w:r>
        <w:rPr>
          <w:w w:val="105"/>
        </w:rPr>
        <w:t>ROLE</w:t>
      </w:r>
      <w:r>
        <w:rPr>
          <w:spacing w:val="-7"/>
          <w:w w:val="105"/>
        </w:rPr>
        <w:t> </w:t>
      </w:r>
      <w:r>
        <w:rPr>
          <w:w w:val="105"/>
        </w:rPr>
        <w:t>OF</w:t>
      </w:r>
      <w:r>
        <w:rPr>
          <w:spacing w:val="-8"/>
          <w:w w:val="105"/>
        </w:rPr>
        <w:t> </w:t>
      </w:r>
      <w:r>
        <w:rPr>
          <w:w w:val="105"/>
        </w:rPr>
        <w:t>THE</w:t>
      </w:r>
      <w:r>
        <w:rPr>
          <w:spacing w:val="-10"/>
          <w:w w:val="105"/>
        </w:rPr>
        <w:t> </w:t>
      </w:r>
      <w:r>
        <w:rPr>
          <w:w w:val="105"/>
        </w:rPr>
        <w:t>MANAGING</w:t>
      </w:r>
      <w:r>
        <w:rPr>
          <w:spacing w:val="-5"/>
          <w:w w:val="105"/>
        </w:rPr>
        <w:t> </w:t>
      </w:r>
      <w:r>
        <w:rPr>
          <w:w w:val="105"/>
        </w:rPr>
        <w:t>OWNER</w:t>
      </w:r>
    </w:p>
    <w:p>
      <w:pPr>
        <w:pStyle w:val="BodyText"/>
        <w:spacing w:before="3"/>
        <w:rPr>
          <w:b/>
        </w:rPr>
      </w:pPr>
    </w:p>
    <w:p>
      <w:pPr>
        <w:pStyle w:val="ListParagraph"/>
        <w:numPr>
          <w:ilvl w:val="1"/>
          <w:numId w:val="1"/>
        </w:numPr>
        <w:tabs>
          <w:tab w:pos="885" w:val="left" w:leader="none"/>
          <w:tab w:pos="887" w:val="left" w:leader="none"/>
        </w:tabs>
        <w:spacing w:line="240" w:lineRule="auto" w:before="0" w:after="0"/>
        <w:ind w:left="886" w:right="0" w:hanging="567"/>
        <w:jc w:val="left"/>
        <w:rPr>
          <w:sz w:val="22"/>
        </w:rPr>
      </w:pPr>
      <w:r>
        <w:rPr>
          <w:w w:val="105"/>
          <w:sz w:val="22"/>
        </w:rPr>
        <w:t>From the date of </w:t>
      </w:r>
      <w:r>
        <w:rPr>
          <w:spacing w:val="-5"/>
          <w:w w:val="105"/>
          <w:sz w:val="22"/>
        </w:rPr>
        <w:t>registration </w:t>
      </w:r>
      <w:r>
        <w:rPr>
          <w:w w:val="105"/>
          <w:sz w:val="22"/>
        </w:rPr>
        <w:t>of the Horse with Racing</w:t>
      </w:r>
      <w:r>
        <w:rPr>
          <w:spacing w:val="-57"/>
          <w:w w:val="105"/>
          <w:sz w:val="22"/>
        </w:rPr>
        <w:t> </w:t>
      </w:r>
      <w:r>
        <w:rPr>
          <w:w w:val="105"/>
          <w:sz w:val="22"/>
        </w:rPr>
        <w:t>Australia:</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0" w:after="0"/>
        <w:ind w:left="1452" w:right="638" w:hanging="566"/>
        <w:jc w:val="left"/>
        <w:rPr>
          <w:sz w:val="22"/>
        </w:rPr>
      </w:pPr>
      <w:r>
        <w:rPr>
          <w:w w:val="105"/>
          <w:sz w:val="22"/>
        </w:rPr>
        <w:t>each Co-owner will hold the Owner’s interest set out in the HRF or relevant Racing</w:t>
      </w:r>
      <w:r>
        <w:rPr>
          <w:spacing w:val="-5"/>
          <w:w w:val="105"/>
          <w:sz w:val="22"/>
        </w:rPr>
        <w:t> </w:t>
      </w:r>
      <w:r>
        <w:rPr>
          <w:w w:val="105"/>
          <w:sz w:val="22"/>
        </w:rPr>
        <w:t>Australia</w:t>
      </w:r>
      <w:r>
        <w:rPr>
          <w:spacing w:val="-3"/>
          <w:w w:val="105"/>
          <w:sz w:val="22"/>
        </w:rPr>
        <w:t> </w:t>
      </w:r>
      <w:r>
        <w:rPr>
          <w:w w:val="105"/>
          <w:sz w:val="22"/>
        </w:rPr>
        <w:t>registration</w:t>
      </w:r>
      <w:r>
        <w:rPr>
          <w:spacing w:val="-5"/>
          <w:w w:val="105"/>
          <w:sz w:val="22"/>
        </w:rPr>
        <w:t> </w:t>
      </w:r>
      <w:r>
        <w:rPr>
          <w:w w:val="105"/>
          <w:sz w:val="22"/>
        </w:rPr>
        <w:t>form</w:t>
      </w:r>
      <w:r>
        <w:rPr>
          <w:spacing w:val="-2"/>
          <w:w w:val="105"/>
          <w:sz w:val="22"/>
        </w:rPr>
        <w:t> </w:t>
      </w:r>
      <w:r>
        <w:rPr>
          <w:w w:val="105"/>
          <w:sz w:val="22"/>
        </w:rPr>
        <w:t>(as</w:t>
      </w:r>
      <w:r>
        <w:rPr>
          <w:spacing w:val="-2"/>
          <w:w w:val="105"/>
          <w:sz w:val="22"/>
        </w:rPr>
        <w:t> </w:t>
      </w:r>
      <w:r>
        <w:rPr>
          <w:w w:val="105"/>
          <w:sz w:val="22"/>
        </w:rPr>
        <w:t>amended</w:t>
      </w:r>
      <w:r>
        <w:rPr>
          <w:spacing w:val="-5"/>
          <w:w w:val="105"/>
          <w:sz w:val="22"/>
        </w:rPr>
        <w:t> </w:t>
      </w:r>
      <w:r>
        <w:rPr>
          <w:w w:val="105"/>
          <w:sz w:val="22"/>
        </w:rPr>
        <w:t>or</w:t>
      </w:r>
      <w:r>
        <w:rPr>
          <w:spacing w:val="-3"/>
          <w:w w:val="105"/>
          <w:sz w:val="22"/>
        </w:rPr>
        <w:t> </w:t>
      </w:r>
      <w:r>
        <w:rPr>
          <w:w w:val="105"/>
          <w:sz w:val="22"/>
        </w:rPr>
        <w:t>updated</w:t>
      </w:r>
      <w:r>
        <w:rPr>
          <w:spacing w:val="-5"/>
          <w:w w:val="105"/>
          <w:sz w:val="22"/>
        </w:rPr>
        <w:t> </w:t>
      </w:r>
      <w:r>
        <w:rPr>
          <w:w w:val="105"/>
          <w:sz w:val="22"/>
        </w:rPr>
        <w:t>from</w:t>
      </w:r>
      <w:r>
        <w:rPr>
          <w:spacing w:val="-2"/>
          <w:w w:val="105"/>
          <w:sz w:val="22"/>
        </w:rPr>
        <w:t> </w:t>
      </w:r>
      <w:r>
        <w:rPr>
          <w:w w:val="105"/>
          <w:sz w:val="22"/>
        </w:rPr>
        <w:t>time</w:t>
      </w:r>
      <w:r>
        <w:rPr>
          <w:spacing w:val="-5"/>
          <w:w w:val="105"/>
          <w:sz w:val="22"/>
        </w:rPr>
        <w:t> </w:t>
      </w:r>
      <w:r>
        <w:rPr>
          <w:w w:val="105"/>
          <w:sz w:val="22"/>
        </w:rPr>
        <w:t>to</w:t>
      </w:r>
      <w:r>
        <w:rPr>
          <w:spacing w:val="-25"/>
          <w:w w:val="105"/>
          <w:sz w:val="22"/>
        </w:rPr>
        <w:t> </w:t>
      </w:r>
      <w:r>
        <w:rPr>
          <w:w w:val="105"/>
          <w:sz w:val="22"/>
        </w:rPr>
        <w:t>time);</w:t>
      </w:r>
    </w:p>
    <w:p>
      <w:pPr>
        <w:pStyle w:val="BodyText"/>
        <w:spacing w:before="11"/>
        <w:rPr>
          <w:sz w:val="21"/>
        </w:rPr>
      </w:pPr>
    </w:p>
    <w:p>
      <w:pPr>
        <w:pStyle w:val="ListParagraph"/>
        <w:numPr>
          <w:ilvl w:val="2"/>
          <w:numId w:val="1"/>
        </w:numPr>
        <w:tabs>
          <w:tab w:pos="1453" w:val="left" w:leader="none"/>
        </w:tabs>
        <w:spacing w:line="240" w:lineRule="auto" w:before="0" w:after="0"/>
        <w:ind w:left="1452" w:right="230" w:hanging="566"/>
        <w:jc w:val="both"/>
        <w:rPr>
          <w:sz w:val="22"/>
        </w:rPr>
      </w:pPr>
      <w:r>
        <w:rPr>
          <w:w w:val="105"/>
          <w:sz w:val="22"/>
        </w:rPr>
        <w:t>the Managing Owner is as </w:t>
      </w:r>
      <w:r>
        <w:rPr>
          <w:spacing w:val="-4"/>
          <w:w w:val="105"/>
          <w:sz w:val="22"/>
        </w:rPr>
        <w:t>specified </w:t>
      </w:r>
      <w:r>
        <w:rPr>
          <w:w w:val="105"/>
          <w:sz w:val="22"/>
        </w:rPr>
        <w:t>in the initial registration form (which may be amended by lodging with Racing Australia the appropriate updating registration form);</w:t>
      </w:r>
      <w:r>
        <w:rPr>
          <w:spacing w:val="-10"/>
          <w:w w:val="105"/>
          <w:sz w:val="22"/>
        </w:rPr>
        <w:t> </w:t>
      </w:r>
      <w:r>
        <w:rPr>
          <w:w w:val="105"/>
          <w:sz w:val="22"/>
        </w:rPr>
        <w:t>and</w:t>
      </w:r>
    </w:p>
    <w:p>
      <w:pPr>
        <w:pStyle w:val="BodyText"/>
        <w:spacing w:before="1"/>
      </w:pPr>
    </w:p>
    <w:p>
      <w:pPr>
        <w:pStyle w:val="ListParagraph"/>
        <w:numPr>
          <w:ilvl w:val="2"/>
          <w:numId w:val="1"/>
        </w:numPr>
        <w:tabs>
          <w:tab w:pos="1453" w:val="left" w:leader="none"/>
        </w:tabs>
        <w:spacing w:line="240" w:lineRule="auto" w:before="0" w:after="0"/>
        <w:ind w:left="1452" w:right="225" w:hanging="566"/>
        <w:jc w:val="both"/>
        <w:rPr>
          <w:sz w:val="22"/>
        </w:rPr>
      </w:pPr>
      <w:r>
        <w:rPr>
          <w:w w:val="105"/>
          <w:sz w:val="22"/>
        </w:rPr>
        <w:t>the Managing Owner has the right to retain possession of any Shared Property of the </w:t>
      </w:r>
      <w:r>
        <w:rPr>
          <w:spacing w:val="-6"/>
          <w:w w:val="105"/>
          <w:sz w:val="22"/>
        </w:rPr>
        <w:t>Co-owners </w:t>
      </w:r>
      <w:r>
        <w:rPr>
          <w:w w:val="105"/>
          <w:sz w:val="22"/>
        </w:rPr>
        <w:t>on behalf of the</w:t>
      </w:r>
      <w:r>
        <w:rPr>
          <w:spacing w:val="-24"/>
          <w:w w:val="105"/>
          <w:sz w:val="22"/>
        </w:rPr>
        <w:t> </w:t>
      </w:r>
      <w:r>
        <w:rPr>
          <w:w w:val="105"/>
          <w:sz w:val="22"/>
        </w:rPr>
        <w:t>Co-owners.</w:t>
      </w:r>
    </w:p>
    <w:p>
      <w:pPr>
        <w:pStyle w:val="BodyText"/>
      </w:pPr>
    </w:p>
    <w:p>
      <w:pPr>
        <w:pStyle w:val="ListParagraph"/>
        <w:numPr>
          <w:ilvl w:val="1"/>
          <w:numId w:val="1"/>
        </w:numPr>
        <w:tabs>
          <w:tab w:pos="887" w:val="left" w:leader="none"/>
        </w:tabs>
        <w:spacing w:line="240" w:lineRule="auto" w:before="0" w:after="0"/>
        <w:ind w:left="886" w:right="241" w:hanging="567"/>
        <w:jc w:val="both"/>
        <w:rPr>
          <w:sz w:val="22"/>
        </w:rPr>
      </w:pPr>
      <w:r>
        <w:rPr>
          <w:w w:val="105"/>
          <w:sz w:val="22"/>
        </w:rPr>
        <w:t>Each Co-owner will share in the prizemoney, bonuses, rebates and other revenue</w:t>
      </w:r>
      <w:r>
        <w:rPr>
          <w:spacing w:val="63"/>
          <w:w w:val="105"/>
          <w:sz w:val="22"/>
        </w:rPr>
        <w:t> </w:t>
      </w:r>
      <w:r>
        <w:rPr>
          <w:w w:val="105"/>
          <w:sz w:val="22"/>
        </w:rPr>
        <w:t>earned</w:t>
      </w:r>
      <w:r>
        <w:rPr>
          <w:spacing w:val="-14"/>
          <w:w w:val="105"/>
          <w:sz w:val="22"/>
        </w:rPr>
        <w:t> </w:t>
      </w:r>
      <w:r>
        <w:rPr>
          <w:w w:val="105"/>
          <w:sz w:val="22"/>
        </w:rPr>
        <w:t>by</w:t>
      </w:r>
      <w:r>
        <w:rPr>
          <w:spacing w:val="-11"/>
          <w:w w:val="105"/>
          <w:sz w:val="22"/>
        </w:rPr>
        <w:t> </w:t>
      </w:r>
      <w:r>
        <w:rPr>
          <w:w w:val="105"/>
          <w:sz w:val="22"/>
        </w:rPr>
        <w:t>the</w:t>
      </w:r>
      <w:r>
        <w:rPr>
          <w:spacing w:val="-14"/>
          <w:w w:val="105"/>
          <w:sz w:val="22"/>
        </w:rPr>
        <w:t> </w:t>
      </w:r>
      <w:r>
        <w:rPr>
          <w:w w:val="105"/>
          <w:sz w:val="22"/>
        </w:rPr>
        <w:t>Horse</w:t>
      </w:r>
      <w:r>
        <w:rPr>
          <w:spacing w:val="-13"/>
          <w:w w:val="105"/>
          <w:sz w:val="22"/>
        </w:rPr>
        <w:t> </w:t>
      </w:r>
      <w:r>
        <w:rPr>
          <w:w w:val="105"/>
          <w:sz w:val="22"/>
        </w:rPr>
        <w:t>in</w:t>
      </w:r>
      <w:r>
        <w:rPr>
          <w:spacing w:val="-19"/>
          <w:w w:val="105"/>
          <w:sz w:val="22"/>
        </w:rPr>
        <w:t> </w:t>
      </w:r>
      <w:r>
        <w:rPr>
          <w:spacing w:val="-4"/>
          <w:w w:val="105"/>
          <w:sz w:val="22"/>
        </w:rPr>
        <w:t>proportion</w:t>
      </w:r>
      <w:r>
        <w:rPr>
          <w:spacing w:val="-17"/>
          <w:w w:val="105"/>
          <w:sz w:val="22"/>
        </w:rPr>
        <w:t> </w:t>
      </w:r>
      <w:r>
        <w:rPr>
          <w:w w:val="105"/>
          <w:sz w:val="22"/>
        </w:rPr>
        <w:t>to</w:t>
      </w:r>
      <w:r>
        <w:rPr>
          <w:spacing w:val="-12"/>
          <w:w w:val="105"/>
          <w:sz w:val="22"/>
        </w:rPr>
        <w:t> </w:t>
      </w:r>
      <w:r>
        <w:rPr>
          <w:w w:val="105"/>
          <w:sz w:val="22"/>
        </w:rPr>
        <w:t>their</w:t>
      </w:r>
      <w:r>
        <w:rPr>
          <w:spacing w:val="-3"/>
          <w:w w:val="105"/>
          <w:sz w:val="22"/>
        </w:rPr>
        <w:t> </w:t>
      </w:r>
      <w:r>
        <w:rPr>
          <w:w w:val="105"/>
          <w:sz w:val="22"/>
        </w:rPr>
        <w:t>respective</w:t>
      </w:r>
      <w:r>
        <w:rPr>
          <w:spacing w:val="-6"/>
          <w:w w:val="105"/>
          <w:sz w:val="22"/>
        </w:rPr>
        <w:t> </w:t>
      </w:r>
      <w:r>
        <w:rPr>
          <w:w w:val="105"/>
          <w:sz w:val="22"/>
        </w:rPr>
        <w:t>Owner’s</w:t>
      </w:r>
      <w:r>
        <w:rPr>
          <w:spacing w:val="-1"/>
          <w:w w:val="105"/>
          <w:sz w:val="22"/>
        </w:rPr>
        <w:t> </w:t>
      </w:r>
      <w:r>
        <w:rPr>
          <w:w w:val="105"/>
          <w:sz w:val="22"/>
        </w:rPr>
        <w:t>interest</w:t>
      </w:r>
      <w:r>
        <w:rPr>
          <w:spacing w:val="-4"/>
          <w:w w:val="105"/>
          <w:sz w:val="22"/>
        </w:rPr>
        <w:t> </w:t>
      </w:r>
      <w:r>
        <w:rPr>
          <w:w w:val="105"/>
          <w:sz w:val="22"/>
        </w:rPr>
        <w:t>in</w:t>
      </w:r>
      <w:r>
        <w:rPr>
          <w:spacing w:val="-5"/>
          <w:w w:val="105"/>
          <w:sz w:val="22"/>
        </w:rPr>
        <w:t> </w:t>
      </w:r>
      <w:r>
        <w:rPr>
          <w:w w:val="105"/>
          <w:sz w:val="22"/>
        </w:rPr>
        <w:t>the</w:t>
      </w:r>
      <w:r>
        <w:rPr>
          <w:spacing w:val="-31"/>
          <w:w w:val="105"/>
          <w:sz w:val="22"/>
        </w:rPr>
        <w:t> </w:t>
      </w:r>
      <w:r>
        <w:rPr>
          <w:w w:val="105"/>
          <w:sz w:val="22"/>
        </w:rPr>
        <w:t>Horse.</w:t>
      </w:r>
    </w:p>
    <w:p>
      <w:pPr>
        <w:pStyle w:val="BodyText"/>
        <w:spacing w:before="8"/>
        <w:rPr>
          <w:sz w:val="21"/>
        </w:rPr>
      </w:pPr>
    </w:p>
    <w:p>
      <w:pPr>
        <w:pStyle w:val="ListParagraph"/>
        <w:numPr>
          <w:ilvl w:val="1"/>
          <w:numId w:val="1"/>
        </w:numPr>
        <w:tabs>
          <w:tab w:pos="887" w:val="left" w:leader="none"/>
        </w:tabs>
        <w:spacing w:line="240" w:lineRule="auto" w:before="0" w:after="0"/>
        <w:ind w:left="886" w:right="227" w:hanging="567"/>
        <w:jc w:val="both"/>
        <w:rPr>
          <w:sz w:val="22"/>
        </w:rPr>
      </w:pPr>
      <w:r>
        <w:rPr>
          <w:w w:val="105"/>
          <w:sz w:val="22"/>
        </w:rPr>
        <w:t>Each Co-owner must </w:t>
      </w:r>
      <w:r>
        <w:rPr>
          <w:spacing w:val="-5"/>
          <w:w w:val="105"/>
          <w:sz w:val="22"/>
        </w:rPr>
        <w:t>contribute </w:t>
      </w:r>
      <w:r>
        <w:rPr>
          <w:w w:val="105"/>
          <w:sz w:val="22"/>
        </w:rPr>
        <w:t>towards the costs of </w:t>
      </w:r>
      <w:r>
        <w:rPr>
          <w:spacing w:val="-4"/>
          <w:w w:val="105"/>
          <w:sz w:val="22"/>
        </w:rPr>
        <w:t>maintaining, </w:t>
      </w:r>
      <w:r>
        <w:rPr>
          <w:spacing w:val="-5"/>
          <w:w w:val="105"/>
          <w:sz w:val="22"/>
        </w:rPr>
        <w:t>training </w:t>
      </w:r>
      <w:r>
        <w:rPr>
          <w:w w:val="105"/>
          <w:sz w:val="22"/>
        </w:rPr>
        <w:t>and racing </w:t>
      </w:r>
      <w:r>
        <w:rPr>
          <w:spacing w:val="-2"/>
          <w:w w:val="105"/>
          <w:sz w:val="22"/>
        </w:rPr>
        <w:t>the </w:t>
      </w:r>
      <w:r>
        <w:rPr>
          <w:w w:val="105"/>
          <w:sz w:val="22"/>
        </w:rPr>
        <w:t>Horse, </w:t>
      </w:r>
      <w:r>
        <w:rPr>
          <w:spacing w:val="-6"/>
          <w:w w:val="105"/>
          <w:sz w:val="22"/>
        </w:rPr>
        <w:t>and </w:t>
      </w:r>
      <w:r>
        <w:rPr>
          <w:spacing w:val="-3"/>
          <w:w w:val="105"/>
          <w:sz w:val="22"/>
        </w:rPr>
        <w:t>to </w:t>
      </w:r>
      <w:r>
        <w:rPr>
          <w:spacing w:val="-7"/>
          <w:w w:val="105"/>
          <w:sz w:val="22"/>
        </w:rPr>
        <w:t>other </w:t>
      </w:r>
      <w:r>
        <w:rPr>
          <w:spacing w:val="-9"/>
          <w:w w:val="105"/>
          <w:sz w:val="22"/>
        </w:rPr>
        <w:t>expenses relating </w:t>
      </w:r>
      <w:r>
        <w:rPr>
          <w:spacing w:val="-4"/>
          <w:w w:val="105"/>
          <w:sz w:val="22"/>
        </w:rPr>
        <w:t>to </w:t>
      </w:r>
      <w:r>
        <w:rPr>
          <w:spacing w:val="-6"/>
          <w:w w:val="105"/>
          <w:sz w:val="22"/>
        </w:rPr>
        <w:t>the </w:t>
      </w:r>
      <w:r>
        <w:rPr>
          <w:spacing w:val="-8"/>
          <w:w w:val="105"/>
          <w:sz w:val="22"/>
        </w:rPr>
        <w:t>Horse, </w:t>
      </w:r>
      <w:r>
        <w:rPr>
          <w:w w:val="105"/>
          <w:sz w:val="22"/>
        </w:rPr>
        <w:t>on a pro rata basis in proportion to</w:t>
      </w:r>
      <w:r>
        <w:rPr>
          <w:spacing w:val="63"/>
          <w:w w:val="105"/>
          <w:sz w:val="22"/>
        </w:rPr>
        <w:t> </w:t>
      </w:r>
      <w:r>
        <w:rPr>
          <w:w w:val="105"/>
          <w:sz w:val="22"/>
        </w:rPr>
        <w:t>that Co-owner’s </w:t>
      </w:r>
      <w:r>
        <w:rPr>
          <w:spacing w:val="-7"/>
          <w:w w:val="105"/>
          <w:sz w:val="22"/>
        </w:rPr>
        <w:t>Owner’s </w:t>
      </w:r>
      <w:r>
        <w:rPr>
          <w:spacing w:val="-5"/>
          <w:w w:val="105"/>
          <w:sz w:val="22"/>
        </w:rPr>
        <w:t>interest </w:t>
      </w:r>
      <w:r>
        <w:rPr>
          <w:w w:val="105"/>
          <w:sz w:val="22"/>
        </w:rPr>
        <w:t>in </w:t>
      </w:r>
      <w:r>
        <w:rPr>
          <w:spacing w:val="-3"/>
          <w:w w:val="105"/>
          <w:sz w:val="22"/>
        </w:rPr>
        <w:t>the</w:t>
      </w:r>
      <w:r>
        <w:rPr>
          <w:spacing w:val="-30"/>
          <w:w w:val="105"/>
          <w:sz w:val="22"/>
        </w:rPr>
        <w:t> </w:t>
      </w:r>
      <w:r>
        <w:rPr>
          <w:spacing w:val="-4"/>
          <w:w w:val="105"/>
          <w:sz w:val="22"/>
        </w:rPr>
        <w:t>Horse.</w:t>
      </w:r>
    </w:p>
    <w:p>
      <w:pPr>
        <w:pStyle w:val="BodyText"/>
        <w:spacing w:before="10"/>
        <w:rPr>
          <w:sz w:val="21"/>
        </w:rPr>
      </w:pPr>
    </w:p>
    <w:p>
      <w:pPr>
        <w:pStyle w:val="ListParagraph"/>
        <w:numPr>
          <w:ilvl w:val="1"/>
          <w:numId w:val="1"/>
        </w:numPr>
        <w:tabs>
          <w:tab w:pos="887" w:val="left" w:leader="none"/>
        </w:tabs>
        <w:spacing w:line="240" w:lineRule="auto" w:before="0" w:after="0"/>
        <w:ind w:left="886" w:right="220" w:hanging="567"/>
        <w:jc w:val="both"/>
        <w:rPr>
          <w:sz w:val="22"/>
        </w:rPr>
      </w:pPr>
      <w:r>
        <w:rPr>
          <w:w w:val="105"/>
          <w:sz w:val="22"/>
        </w:rPr>
        <w:t>The</w:t>
      </w:r>
      <w:r>
        <w:rPr>
          <w:spacing w:val="-4"/>
          <w:w w:val="105"/>
          <w:sz w:val="22"/>
        </w:rPr>
        <w:t> </w:t>
      </w:r>
      <w:r>
        <w:rPr>
          <w:w w:val="105"/>
          <w:sz w:val="22"/>
        </w:rPr>
        <w:t>Managing</w:t>
      </w:r>
      <w:r>
        <w:rPr>
          <w:spacing w:val="-3"/>
          <w:w w:val="105"/>
          <w:sz w:val="22"/>
        </w:rPr>
        <w:t> </w:t>
      </w:r>
      <w:r>
        <w:rPr>
          <w:w w:val="105"/>
          <w:sz w:val="22"/>
        </w:rPr>
        <w:t>Owner</w:t>
      </w:r>
      <w:r>
        <w:rPr>
          <w:spacing w:val="0"/>
          <w:w w:val="105"/>
          <w:sz w:val="22"/>
        </w:rPr>
        <w:t> </w:t>
      </w:r>
      <w:r>
        <w:rPr>
          <w:w w:val="105"/>
          <w:sz w:val="22"/>
        </w:rPr>
        <w:t>will</w:t>
      </w:r>
      <w:r>
        <w:rPr>
          <w:spacing w:val="-1"/>
          <w:w w:val="105"/>
          <w:sz w:val="22"/>
        </w:rPr>
        <w:t> </w:t>
      </w:r>
      <w:r>
        <w:rPr>
          <w:w w:val="105"/>
          <w:sz w:val="22"/>
        </w:rPr>
        <w:t>manage</w:t>
      </w:r>
      <w:r>
        <w:rPr>
          <w:spacing w:val="0"/>
          <w:w w:val="105"/>
          <w:sz w:val="22"/>
        </w:rPr>
        <w:t> </w:t>
      </w:r>
      <w:r>
        <w:rPr>
          <w:w w:val="105"/>
          <w:sz w:val="22"/>
        </w:rPr>
        <w:t>the</w:t>
      </w:r>
      <w:r>
        <w:rPr>
          <w:spacing w:val="-1"/>
          <w:w w:val="105"/>
          <w:sz w:val="22"/>
        </w:rPr>
        <w:t> </w:t>
      </w:r>
      <w:r>
        <w:rPr>
          <w:spacing w:val="-8"/>
          <w:w w:val="105"/>
          <w:sz w:val="22"/>
        </w:rPr>
        <w:t>Horse</w:t>
      </w:r>
      <w:r>
        <w:rPr>
          <w:spacing w:val="-22"/>
          <w:w w:val="105"/>
          <w:sz w:val="22"/>
        </w:rPr>
        <w:t> </w:t>
      </w:r>
      <w:r>
        <w:rPr>
          <w:spacing w:val="-10"/>
          <w:w w:val="105"/>
          <w:sz w:val="22"/>
        </w:rPr>
        <w:t>Ownership</w:t>
      </w:r>
      <w:r>
        <w:rPr>
          <w:spacing w:val="-26"/>
          <w:w w:val="105"/>
          <w:sz w:val="22"/>
        </w:rPr>
        <w:t> </w:t>
      </w:r>
      <w:r>
        <w:rPr>
          <w:w w:val="105"/>
          <w:sz w:val="22"/>
        </w:rPr>
        <w:t>Venture</w:t>
      </w:r>
      <w:r>
        <w:rPr>
          <w:spacing w:val="1"/>
          <w:w w:val="105"/>
          <w:sz w:val="22"/>
        </w:rPr>
        <w:t> </w:t>
      </w:r>
      <w:r>
        <w:rPr>
          <w:w w:val="105"/>
          <w:sz w:val="22"/>
        </w:rPr>
        <w:t>for</w:t>
      </w:r>
      <w:r>
        <w:rPr>
          <w:spacing w:val="-5"/>
          <w:w w:val="105"/>
          <w:sz w:val="22"/>
        </w:rPr>
        <w:t> </w:t>
      </w:r>
      <w:r>
        <w:rPr>
          <w:w w:val="105"/>
          <w:sz w:val="22"/>
        </w:rPr>
        <w:t>the</w:t>
      </w:r>
      <w:r>
        <w:rPr>
          <w:spacing w:val="-3"/>
          <w:w w:val="105"/>
          <w:sz w:val="22"/>
        </w:rPr>
        <w:t> </w:t>
      </w:r>
      <w:r>
        <w:rPr>
          <w:w w:val="105"/>
          <w:sz w:val="22"/>
        </w:rPr>
        <w:t>benefit</w:t>
      </w:r>
      <w:r>
        <w:rPr>
          <w:spacing w:val="-2"/>
          <w:w w:val="105"/>
          <w:sz w:val="22"/>
        </w:rPr>
        <w:t> </w:t>
      </w:r>
      <w:r>
        <w:rPr>
          <w:w w:val="105"/>
          <w:sz w:val="22"/>
        </w:rPr>
        <w:t>of</w:t>
      </w:r>
      <w:r>
        <w:rPr>
          <w:spacing w:val="-4"/>
          <w:w w:val="105"/>
          <w:sz w:val="22"/>
        </w:rPr>
        <w:t> </w:t>
      </w:r>
      <w:r>
        <w:rPr>
          <w:w w:val="105"/>
          <w:sz w:val="22"/>
        </w:rPr>
        <w:t>all</w:t>
      </w:r>
      <w:r>
        <w:rPr>
          <w:spacing w:val="-1"/>
          <w:w w:val="105"/>
          <w:sz w:val="22"/>
        </w:rPr>
        <w:t> </w:t>
      </w:r>
      <w:r>
        <w:rPr>
          <w:w w:val="105"/>
          <w:sz w:val="22"/>
        </w:rPr>
        <w:t>Co- Owners. That will be on the basis of there being no cost to the Co-owners for the Managing Owner’s services unless otherwise agreed by them by Unanimous</w:t>
      </w:r>
      <w:r>
        <w:rPr>
          <w:spacing w:val="-41"/>
          <w:w w:val="105"/>
          <w:sz w:val="22"/>
        </w:rPr>
        <w:t> </w:t>
      </w:r>
      <w:r>
        <w:rPr>
          <w:w w:val="105"/>
          <w:sz w:val="22"/>
        </w:rPr>
        <w:t>Consent.</w:t>
      </w:r>
    </w:p>
    <w:p>
      <w:pPr>
        <w:pStyle w:val="BodyText"/>
        <w:spacing w:before="10"/>
        <w:rPr>
          <w:sz w:val="21"/>
        </w:rPr>
      </w:pPr>
    </w:p>
    <w:p>
      <w:pPr>
        <w:pStyle w:val="ListParagraph"/>
        <w:numPr>
          <w:ilvl w:val="1"/>
          <w:numId w:val="1"/>
        </w:numPr>
        <w:tabs>
          <w:tab w:pos="885" w:val="left" w:leader="none"/>
          <w:tab w:pos="887" w:val="left" w:leader="none"/>
        </w:tabs>
        <w:spacing w:line="240" w:lineRule="auto" w:before="0" w:after="0"/>
        <w:ind w:left="886" w:right="0" w:hanging="567"/>
        <w:jc w:val="left"/>
        <w:rPr>
          <w:sz w:val="22"/>
        </w:rPr>
      </w:pPr>
      <w:r>
        <w:rPr>
          <w:w w:val="105"/>
          <w:sz w:val="22"/>
        </w:rPr>
        <w:t>The Managing Owner</w:t>
      </w:r>
      <w:r>
        <w:rPr>
          <w:spacing w:val="-31"/>
          <w:w w:val="105"/>
          <w:sz w:val="22"/>
        </w:rPr>
        <w:t> </w:t>
      </w:r>
      <w:r>
        <w:rPr>
          <w:w w:val="105"/>
          <w:sz w:val="22"/>
        </w:rPr>
        <w:t>must:</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use reasonable endeavours to properly manage the </w:t>
      </w:r>
      <w:r>
        <w:rPr>
          <w:spacing w:val="-7"/>
          <w:w w:val="105"/>
          <w:sz w:val="22"/>
        </w:rPr>
        <w:t>Horse </w:t>
      </w:r>
      <w:r>
        <w:rPr>
          <w:spacing w:val="-9"/>
          <w:w w:val="105"/>
          <w:sz w:val="22"/>
        </w:rPr>
        <w:t>Ownership</w:t>
      </w:r>
      <w:r>
        <w:rPr>
          <w:spacing w:val="-35"/>
          <w:w w:val="105"/>
          <w:sz w:val="22"/>
        </w:rPr>
        <w:t> </w:t>
      </w:r>
      <w:r>
        <w:rPr>
          <w:w w:val="105"/>
          <w:sz w:val="22"/>
        </w:rPr>
        <w:t>Venture,</w:t>
      </w:r>
    </w:p>
    <w:p>
      <w:pPr>
        <w:spacing w:after="0" w:line="240" w:lineRule="auto"/>
        <w:jc w:val="left"/>
        <w:rPr>
          <w:sz w:val="22"/>
        </w:rPr>
        <w:sectPr>
          <w:pgSz w:w="11900" w:h="16860"/>
          <w:pgMar w:header="0" w:footer="761" w:top="1060" w:bottom="960" w:left="900" w:right="980"/>
        </w:sectPr>
      </w:pPr>
    </w:p>
    <w:p>
      <w:pPr>
        <w:pStyle w:val="BodyText"/>
        <w:spacing w:before="69"/>
        <w:ind w:left="1452"/>
      </w:pPr>
      <w:r>
        <w:rPr>
          <w:spacing w:val="-3"/>
          <w:w w:val="105"/>
        </w:rPr>
        <w:t>including </w:t>
      </w:r>
      <w:r>
        <w:rPr>
          <w:spacing w:val="-8"/>
          <w:w w:val="105"/>
        </w:rPr>
        <w:t>using </w:t>
      </w:r>
      <w:r>
        <w:rPr>
          <w:spacing w:val="-9"/>
          <w:w w:val="105"/>
        </w:rPr>
        <w:t>reasonable endeavours </w:t>
      </w:r>
      <w:r>
        <w:rPr>
          <w:w w:val="105"/>
        </w:rPr>
        <w:t>to ensure that the Trainer complies with the Trainer’s reporting </w:t>
      </w:r>
      <w:r>
        <w:rPr>
          <w:spacing w:val="-5"/>
          <w:w w:val="105"/>
        </w:rPr>
        <w:t>obligations </w:t>
      </w:r>
      <w:r>
        <w:rPr>
          <w:w w:val="105"/>
        </w:rPr>
        <w:t>as set out in clauses 2.2(c) and 2.3 of the STA;</w:t>
      </w:r>
    </w:p>
    <w:p>
      <w:pPr>
        <w:pStyle w:val="BodyText"/>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make</w:t>
      </w:r>
      <w:r>
        <w:rPr>
          <w:spacing w:val="-10"/>
          <w:w w:val="105"/>
          <w:sz w:val="22"/>
        </w:rPr>
        <w:t> </w:t>
      </w:r>
      <w:r>
        <w:rPr>
          <w:w w:val="105"/>
          <w:sz w:val="22"/>
        </w:rPr>
        <w:t>decisions</w:t>
      </w:r>
      <w:r>
        <w:rPr>
          <w:spacing w:val="-7"/>
          <w:w w:val="105"/>
          <w:sz w:val="22"/>
        </w:rPr>
        <w:t> </w:t>
      </w:r>
      <w:r>
        <w:rPr>
          <w:w w:val="105"/>
          <w:sz w:val="22"/>
        </w:rPr>
        <w:t>in</w:t>
      </w:r>
      <w:r>
        <w:rPr>
          <w:spacing w:val="-10"/>
          <w:w w:val="105"/>
          <w:sz w:val="22"/>
        </w:rPr>
        <w:t> </w:t>
      </w:r>
      <w:r>
        <w:rPr>
          <w:w w:val="105"/>
          <w:sz w:val="22"/>
        </w:rPr>
        <w:t>the</w:t>
      </w:r>
      <w:r>
        <w:rPr>
          <w:spacing w:val="-9"/>
          <w:w w:val="105"/>
          <w:sz w:val="22"/>
        </w:rPr>
        <w:t> </w:t>
      </w:r>
      <w:r>
        <w:rPr>
          <w:w w:val="105"/>
          <w:sz w:val="22"/>
        </w:rPr>
        <w:t>best</w:t>
      </w:r>
      <w:r>
        <w:rPr>
          <w:spacing w:val="-10"/>
          <w:w w:val="105"/>
          <w:sz w:val="22"/>
        </w:rPr>
        <w:t> </w:t>
      </w:r>
      <w:r>
        <w:rPr>
          <w:spacing w:val="-5"/>
          <w:w w:val="105"/>
          <w:sz w:val="22"/>
        </w:rPr>
        <w:t>interests</w:t>
      </w:r>
      <w:r>
        <w:rPr>
          <w:spacing w:val="-13"/>
          <w:w w:val="105"/>
          <w:sz w:val="22"/>
        </w:rPr>
        <w:t> </w:t>
      </w:r>
      <w:r>
        <w:rPr>
          <w:w w:val="105"/>
          <w:sz w:val="22"/>
        </w:rPr>
        <w:t>of</w:t>
      </w:r>
      <w:r>
        <w:rPr>
          <w:spacing w:val="-10"/>
          <w:w w:val="105"/>
          <w:sz w:val="22"/>
        </w:rPr>
        <w:t> </w:t>
      </w:r>
      <w:r>
        <w:rPr>
          <w:w w:val="105"/>
          <w:sz w:val="22"/>
        </w:rPr>
        <w:t>the</w:t>
      </w:r>
      <w:r>
        <w:rPr>
          <w:spacing w:val="-12"/>
          <w:w w:val="105"/>
          <w:sz w:val="22"/>
        </w:rPr>
        <w:t> </w:t>
      </w:r>
      <w:r>
        <w:rPr>
          <w:w w:val="105"/>
          <w:sz w:val="22"/>
        </w:rPr>
        <w:t>Co-owners</w:t>
      </w:r>
      <w:r>
        <w:rPr>
          <w:spacing w:val="-8"/>
          <w:w w:val="105"/>
          <w:sz w:val="22"/>
        </w:rPr>
        <w:t> </w:t>
      </w:r>
      <w:r>
        <w:rPr>
          <w:w w:val="105"/>
          <w:sz w:val="22"/>
        </w:rPr>
        <w:t>as</w:t>
      </w:r>
      <w:r>
        <w:rPr>
          <w:spacing w:val="-6"/>
          <w:w w:val="105"/>
          <w:sz w:val="22"/>
        </w:rPr>
        <w:t> </w:t>
      </w:r>
      <w:r>
        <w:rPr>
          <w:w w:val="105"/>
          <w:sz w:val="22"/>
        </w:rPr>
        <w:t>a</w:t>
      </w:r>
      <w:r>
        <w:rPr>
          <w:spacing w:val="-11"/>
          <w:w w:val="105"/>
          <w:sz w:val="22"/>
        </w:rPr>
        <w:t> </w:t>
      </w:r>
      <w:r>
        <w:rPr>
          <w:w w:val="105"/>
          <w:sz w:val="22"/>
        </w:rPr>
        <w:t>whole;</w:t>
      </w:r>
    </w:p>
    <w:p>
      <w:pPr>
        <w:pStyle w:val="BodyText"/>
      </w:pPr>
    </w:p>
    <w:p>
      <w:pPr>
        <w:pStyle w:val="ListParagraph"/>
        <w:numPr>
          <w:ilvl w:val="2"/>
          <w:numId w:val="1"/>
        </w:numPr>
        <w:tabs>
          <w:tab w:pos="1452" w:val="left" w:leader="none"/>
          <w:tab w:pos="1453" w:val="left" w:leader="none"/>
        </w:tabs>
        <w:spacing w:line="240" w:lineRule="auto" w:before="1" w:after="0"/>
        <w:ind w:left="1452" w:right="0" w:hanging="566"/>
        <w:jc w:val="left"/>
        <w:rPr>
          <w:sz w:val="22"/>
        </w:rPr>
      </w:pPr>
      <w:r>
        <w:rPr>
          <w:w w:val="105"/>
          <w:sz w:val="22"/>
        </w:rPr>
        <w:t>comply with the Managing Owner’s obligations under the TOR Rules;</w:t>
      </w:r>
      <w:r>
        <w:rPr>
          <w:spacing w:val="-19"/>
          <w:w w:val="105"/>
          <w:sz w:val="22"/>
        </w:rPr>
        <w:t> </w:t>
      </w:r>
      <w:r>
        <w:rPr>
          <w:w w:val="105"/>
          <w:sz w:val="22"/>
        </w:rPr>
        <w:t>and</w:t>
      </w:r>
    </w:p>
    <w:p>
      <w:pPr>
        <w:pStyle w:val="BodyText"/>
      </w:pPr>
    </w:p>
    <w:p>
      <w:pPr>
        <w:pStyle w:val="ListParagraph"/>
        <w:numPr>
          <w:ilvl w:val="2"/>
          <w:numId w:val="1"/>
        </w:numPr>
        <w:tabs>
          <w:tab w:pos="1452" w:val="left" w:leader="none"/>
          <w:tab w:pos="1453" w:val="left" w:leader="none"/>
        </w:tabs>
        <w:spacing w:line="240" w:lineRule="auto" w:before="0" w:after="0"/>
        <w:ind w:left="1452" w:right="209" w:hanging="566"/>
        <w:jc w:val="left"/>
        <w:rPr>
          <w:sz w:val="22"/>
        </w:rPr>
      </w:pPr>
      <w:r>
        <w:rPr>
          <w:w w:val="105"/>
          <w:sz w:val="22"/>
        </w:rPr>
        <w:t>ensure that no funds </w:t>
      </w:r>
      <w:r>
        <w:rPr>
          <w:spacing w:val="-10"/>
          <w:w w:val="105"/>
          <w:sz w:val="22"/>
        </w:rPr>
        <w:t>provided </w:t>
      </w:r>
      <w:r>
        <w:rPr>
          <w:spacing w:val="-4"/>
          <w:w w:val="105"/>
          <w:sz w:val="22"/>
        </w:rPr>
        <w:t>by </w:t>
      </w:r>
      <w:r>
        <w:rPr>
          <w:spacing w:val="-7"/>
          <w:w w:val="105"/>
          <w:sz w:val="22"/>
        </w:rPr>
        <w:t>the </w:t>
      </w:r>
      <w:r>
        <w:rPr>
          <w:spacing w:val="-10"/>
          <w:w w:val="105"/>
          <w:sz w:val="22"/>
        </w:rPr>
        <w:t>Co-owners </w:t>
      </w:r>
      <w:r>
        <w:rPr>
          <w:spacing w:val="-3"/>
          <w:w w:val="105"/>
          <w:sz w:val="22"/>
        </w:rPr>
        <w:t>in </w:t>
      </w:r>
      <w:r>
        <w:rPr>
          <w:spacing w:val="-10"/>
          <w:w w:val="105"/>
          <w:sz w:val="22"/>
        </w:rPr>
        <w:t>respect </w:t>
      </w:r>
      <w:r>
        <w:rPr>
          <w:spacing w:val="-4"/>
          <w:w w:val="105"/>
          <w:sz w:val="22"/>
        </w:rPr>
        <w:t>of </w:t>
      </w:r>
      <w:r>
        <w:rPr>
          <w:spacing w:val="-6"/>
          <w:w w:val="105"/>
          <w:sz w:val="22"/>
        </w:rPr>
        <w:t>the </w:t>
      </w:r>
      <w:r>
        <w:rPr>
          <w:spacing w:val="-8"/>
          <w:w w:val="105"/>
          <w:sz w:val="22"/>
        </w:rPr>
        <w:t>Horse </w:t>
      </w:r>
      <w:r>
        <w:rPr>
          <w:spacing w:val="-10"/>
          <w:w w:val="105"/>
          <w:sz w:val="22"/>
        </w:rPr>
        <w:t>Ownership Venture</w:t>
      </w:r>
      <w:r>
        <w:rPr>
          <w:spacing w:val="-33"/>
          <w:w w:val="105"/>
          <w:sz w:val="22"/>
        </w:rPr>
        <w:t> </w:t>
      </w:r>
      <w:r>
        <w:rPr>
          <w:w w:val="105"/>
          <w:sz w:val="22"/>
        </w:rPr>
        <w:t>are</w:t>
      </w:r>
      <w:r>
        <w:rPr>
          <w:spacing w:val="-11"/>
          <w:w w:val="105"/>
          <w:sz w:val="22"/>
        </w:rPr>
        <w:t> </w:t>
      </w:r>
      <w:r>
        <w:rPr>
          <w:w w:val="105"/>
          <w:sz w:val="22"/>
        </w:rPr>
        <w:t>applied</w:t>
      </w:r>
      <w:r>
        <w:rPr>
          <w:spacing w:val="-8"/>
          <w:w w:val="105"/>
          <w:sz w:val="22"/>
        </w:rPr>
        <w:t> </w:t>
      </w:r>
      <w:r>
        <w:rPr>
          <w:w w:val="105"/>
          <w:sz w:val="22"/>
        </w:rPr>
        <w:t>other</w:t>
      </w:r>
      <w:r>
        <w:rPr>
          <w:spacing w:val="-12"/>
          <w:w w:val="105"/>
          <w:sz w:val="22"/>
        </w:rPr>
        <w:t> </w:t>
      </w:r>
      <w:r>
        <w:rPr>
          <w:w w:val="105"/>
          <w:sz w:val="22"/>
        </w:rPr>
        <w:t>than</w:t>
      </w:r>
      <w:r>
        <w:rPr>
          <w:spacing w:val="-10"/>
          <w:w w:val="105"/>
          <w:sz w:val="22"/>
        </w:rPr>
        <w:t> </w:t>
      </w:r>
      <w:r>
        <w:rPr>
          <w:w w:val="105"/>
          <w:sz w:val="22"/>
        </w:rPr>
        <w:t>for</w:t>
      </w:r>
      <w:r>
        <w:rPr>
          <w:spacing w:val="-12"/>
          <w:w w:val="105"/>
          <w:sz w:val="22"/>
        </w:rPr>
        <w:t> </w:t>
      </w:r>
      <w:r>
        <w:rPr>
          <w:w w:val="105"/>
          <w:sz w:val="22"/>
        </w:rPr>
        <w:t>the</w:t>
      </w:r>
      <w:r>
        <w:rPr>
          <w:spacing w:val="-10"/>
          <w:w w:val="105"/>
          <w:sz w:val="22"/>
        </w:rPr>
        <w:t> </w:t>
      </w:r>
      <w:r>
        <w:rPr>
          <w:w w:val="105"/>
          <w:sz w:val="22"/>
        </w:rPr>
        <w:t>purpose</w:t>
      </w:r>
      <w:r>
        <w:rPr>
          <w:spacing w:val="-9"/>
          <w:w w:val="105"/>
          <w:sz w:val="22"/>
        </w:rPr>
        <w:t> </w:t>
      </w:r>
      <w:r>
        <w:rPr>
          <w:w w:val="105"/>
          <w:sz w:val="22"/>
        </w:rPr>
        <w:t>of</w:t>
      </w:r>
      <w:r>
        <w:rPr>
          <w:spacing w:val="-14"/>
          <w:w w:val="105"/>
          <w:sz w:val="22"/>
        </w:rPr>
        <w:t> </w:t>
      </w:r>
      <w:r>
        <w:rPr>
          <w:w w:val="105"/>
          <w:sz w:val="22"/>
        </w:rPr>
        <w:t>the</w:t>
      </w:r>
      <w:r>
        <w:rPr>
          <w:spacing w:val="-11"/>
          <w:w w:val="105"/>
          <w:sz w:val="22"/>
        </w:rPr>
        <w:t> </w:t>
      </w:r>
      <w:r>
        <w:rPr>
          <w:spacing w:val="-9"/>
          <w:w w:val="105"/>
          <w:sz w:val="22"/>
        </w:rPr>
        <w:t>Horse</w:t>
      </w:r>
      <w:r>
        <w:rPr>
          <w:spacing w:val="-37"/>
          <w:w w:val="105"/>
          <w:sz w:val="22"/>
        </w:rPr>
        <w:t> </w:t>
      </w:r>
      <w:r>
        <w:rPr>
          <w:spacing w:val="-11"/>
          <w:w w:val="105"/>
          <w:sz w:val="22"/>
        </w:rPr>
        <w:t>Ownership</w:t>
      </w:r>
      <w:r>
        <w:rPr>
          <w:spacing w:val="-40"/>
          <w:w w:val="105"/>
          <w:sz w:val="22"/>
        </w:rPr>
        <w:t> </w:t>
      </w:r>
      <w:r>
        <w:rPr>
          <w:w w:val="105"/>
          <w:sz w:val="22"/>
        </w:rPr>
        <w:t>Venture.</w:t>
      </w:r>
    </w:p>
    <w:p>
      <w:pPr>
        <w:pStyle w:val="BodyText"/>
        <w:spacing w:before="8"/>
        <w:rPr>
          <w:sz w:val="21"/>
        </w:rPr>
      </w:pPr>
    </w:p>
    <w:p>
      <w:pPr>
        <w:pStyle w:val="ListParagraph"/>
        <w:numPr>
          <w:ilvl w:val="1"/>
          <w:numId w:val="1"/>
        </w:numPr>
        <w:tabs>
          <w:tab w:pos="887" w:val="left" w:leader="none"/>
        </w:tabs>
        <w:spacing w:line="240" w:lineRule="auto" w:before="1" w:after="0"/>
        <w:ind w:left="886" w:right="354" w:hanging="567"/>
        <w:jc w:val="both"/>
        <w:rPr>
          <w:sz w:val="22"/>
        </w:rPr>
      </w:pPr>
      <w:r>
        <w:rPr>
          <w:w w:val="105"/>
          <w:sz w:val="22"/>
        </w:rPr>
        <w:t>The Managing Owner can only make the following decisions, and carry out any reasonable actions to effect those decisions, on behalf of the Co-owners with Majority Consent:</w:t>
      </w:r>
    </w:p>
    <w:p>
      <w:pPr>
        <w:pStyle w:val="BodyText"/>
        <w:spacing w:before="9"/>
        <w:rPr>
          <w:sz w:val="21"/>
        </w:rPr>
      </w:pPr>
    </w:p>
    <w:p>
      <w:pPr>
        <w:pStyle w:val="ListParagraph"/>
        <w:numPr>
          <w:ilvl w:val="2"/>
          <w:numId w:val="1"/>
        </w:numPr>
        <w:tabs>
          <w:tab w:pos="1453" w:val="left" w:leader="none"/>
        </w:tabs>
        <w:spacing w:line="240" w:lineRule="auto" w:before="1" w:after="0"/>
        <w:ind w:left="1452" w:right="232" w:hanging="566"/>
        <w:jc w:val="both"/>
        <w:rPr>
          <w:sz w:val="22"/>
        </w:rPr>
      </w:pPr>
      <w:r>
        <w:rPr>
          <w:w w:val="105"/>
          <w:sz w:val="22"/>
        </w:rPr>
        <w:t>approve a scheduled treatment event for the Horse (including veterinary or surgical treatment) which in the reasonable opinion of the Managing Owner is expected to exceed $4000 (including</w:t>
      </w:r>
      <w:r>
        <w:rPr>
          <w:spacing w:val="-29"/>
          <w:w w:val="105"/>
          <w:sz w:val="22"/>
        </w:rPr>
        <w:t> </w:t>
      </w:r>
      <w:r>
        <w:rPr>
          <w:w w:val="105"/>
          <w:sz w:val="22"/>
        </w:rPr>
        <w:t>GST);</w:t>
      </w:r>
    </w:p>
    <w:p>
      <w:pPr>
        <w:pStyle w:val="BodyText"/>
        <w:spacing w:before="1"/>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geld the Horse and/or to provide the consent to surgery for a gelding</w:t>
      </w:r>
      <w:r>
        <w:rPr>
          <w:spacing w:val="-16"/>
          <w:w w:val="105"/>
          <w:sz w:val="22"/>
        </w:rPr>
        <w:t> </w:t>
      </w:r>
      <w:r>
        <w:rPr>
          <w:w w:val="105"/>
          <w:sz w:val="22"/>
        </w:rPr>
        <w:t>procedure;</w:t>
      </w:r>
    </w:p>
    <w:p>
      <w:pPr>
        <w:pStyle w:val="BodyText"/>
        <w:spacing w:before="9"/>
        <w:rPr>
          <w:sz w:val="21"/>
        </w:rPr>
      </w:pPr>
    </w:p>
    <w:p>
      <w:pPr>
        <w:pStyle w:val="ListParagraph"/>
        <w:numPr>
          <w:ilvl w:val="2"/>
          <w:numId w:val="1"/>
        </w:numPr>
        <w:tabs>
          <w:tab w:pos="1452" w:val="left" w:leader="none"/>
          <w:tab w:pos="1453" w:val="left" w:leader="none"/>
        </w:tabs>
        <w:spacing w:line="240" w:lineRule="auto" w:before="1" w:after="0"/>
        <w:ind w:left="1452" w:right="234" w:hanging="566"/>
        <w:jc w:val="left"/>
        <w:rPr>
          <w:sz w:val="22"/>
        </w:rPr>
      </w:pPr>
      <w:r>
        <w:rPr>
          <w:w w:val="105"/>
          <w:sz w:val="22"/>
        </w:rPr>
        <w:t>enter into, terminate and/or bring to an end the training agreement or arrangement</w:t>
      </w:r>
      <w:r>
        <w:rPr>
          <w:spacing w:val="-16"/>
          <w:w w:val="105"/>
          <w:sz w:val="22"/>
        </w:rPr>
        <w:t> </w:t>
      </w:r>
      <w:r>
        <w:rPr>
          <w:w w:val="105"/>
          <w:sz w:val="22"/>
        </w:rPr>
        <w:t>between</w:t>
      </w:r>
      <w:r>
        <w:rPr>
          <w:spacing w:val="-14"/>
          <w:w w:val="105"/>
          <w:sz w:val="22"/>
        </w:rPr>
        <w:t> </w:t>
      </w:r>
      <w:r>
        <w:rPr>
          <w:w w:val="105"/>
          <w:sz w:val="22"/>
        </w:rPr>
        <w:t>the</w:t>
      </w:r>
      <w:r>
        <w:rPr>
          <w:spacing w:val="-14"/>
          <w:w w:val="105"/>
          <w:sz w:val="22"/>
        </w:rPr>
        <w:t> </w:t>
      </w:r>
      <w:r>
        <w:rPr>
          <w:w w:val="105"/>
          <w:sz w:val="22"/>
        </w:rPr>
        <w:t>Co-owners</w:t>
      </w:r>
      <w:r>
        <w:rPr>
          <w:spacing w:val="-10"/>
          <w:w w:val="105"/>
          <w:sz w:val="22"/>
        </w:rPr>
        <w:t> </w:t>
      </w:r>
      <w:r>
        <w:rPr>
          <w:w w:val="105"/>
          <w:sz w:val="22"/>
        </w:rPr>
        <w:t>and</w:t>
      </w:r>
      <w:r>
        <w:rPr>
          <w:spacing w:val="-14"/>
          <w:w w:val="105"/>
          <w:sz w:val="22"/>
        </w:rPr>
        <w:t> </w:t>
      </w:r>
      <w:r>
        <w:rPr>
          <w:w w:val="105"/>
          <w:sz w:val="22"/>
        </w:rPr>
        <w:t>the</w:t>
      </w:r>
      <w:r>
        <w:rPr>
          <w:spacing w:val="-12"/>
          <w:w w:val="105"/>
          <w:sz w:val="22"/>
        </w:rPr>
        <w:t> </w:t>
      </w:r>
      <w:r>
        <w:rPr>
          <w:w w:val="105"/>
          <w:sz w:val="22"/>
        </w:rPr>
        <w:t>Trainer;</w:t>
      </w:r>
    </w:p>
    <w:p>
      <w:pPr>
        <w:pStyle w:val="BodyText"/>
        <w:spacing w:before="10"/>
        <w:rPr>
          <w:sz w:val="21"/>
        </w:rPr>
      </w:pPr>
    </w:p>
    <w:p>
      <w:pPr>
        <w:pStyle w:val="ListParagraph"/>
        <w:numPr>
          <w:ilvl w:val="2"/>
          <w:numId w:val="1"/>
        </w:numPr>
        <w:tabs>
          <w:tab w:pos="1453" w:val="left" w:leader="none"/>
        </w:tabs>
        <w:spacing w:line="240" w:lineRule="auto" w:before="1" w:after="0"/>
        <w:ind w:left="1452" w:right="225" w:hanging="566"/>
        <w:jc w:val="both"/>
        <w:rPr>
          <w:sz w:val="22"/>
        </w:rPr>
      </w:pPr>
      <w:r>
        <w:rPr>
          <w:sz w:val="22"/>
        </w:rPr>
        <w:t>accept or object to a Fees Notice provided by the Trainer (including a decision in respect of any proposed variations to a Fees Notice), provided that if Co-owners with 50% aggregate ownership of the Horse wish to accept, and Co-owners with 50% aggregate ownership of the Horse wish to object to, a Fees Notice (or any proposed variations), the Managing Owner must object on behalf of the</w:t>
      </w:r>
      <w:r>
        <w:rPr>
          <w:spacing w:val="-7"/>
          <w:sz w:val="22"/>
        </w:rPr>
        <w:t> </w:t>
      </w:r>
      <w:r>
        <w:rPr>
          <w:sz w:val="22"/>
        </w:rPr>
        <w:t>Co-owners;</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engage a new</w:t>
      </w:r>
      <w:r>
        <w:rPr>
          <w:spacing w:val="-31"/>
          <w:w w:val="105"/>
          <w:sz w:val="22"/>
        </w:rPr>
        <w:t> </w:t>
      </w:r>
      <w:r>
        <w:rPr>
          <w:w w:val="105"/>
          <w:sz w:val="22"/>
        </w:rPr>
        <w:t>Trainer;</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offer</w:t>
      </w:r>
      <w:r>
        <w:rPr>
          <w:spacing w:val="-4"/>
          <w:w w:val="105"/>
          <w:sz w:val="22"/>
        </w:rPr>
        <w:t> </w:t>
      </w:r>
      <w:r>
        <w:rPr>
          <w:w w:val="105"/>
          <w:sz w:val="22"/>
        </w:rPr>
        <w:t>for</w:t>
      </w:r>
      <w:r>
        <w:rPr>
          <w:spacing w:val="-6"/>
          <w:w w:val="105"/>
          <w:sz w:val="22"/>
        </w:rPr>
        <w:t> </w:t>
      </w:r>
      <w:r>
        <w:rPr>
          <w:w w:val="105"/>
          <w:sz w:val="22"/>
        </w:rPr>
        <w:t>sale,</w:t>
      </w:r>
      <w:r>
        <w:rPr>
          <w:spacing w:val="-3"/>
          <w:w w:val="105"/>
          <w:sz w:val="22"/>
        </w:rPr>
        <w:t> </w:t>
      </w:r>
      <w:r>
        <w:rPr>
          <w:w w:val="105"/>
          <w:sz w:val="22"/>
        </w:rPr>
        <w:t>and/or</w:t>
      </w:r>
      <w:r>
        <w:rPr>
          <w:spacing w:val="-4"/>
          <w:w w:val="105"/>
          <w:sz w:val="22"/>
        </w:rPr>
        <w:t> </w:t>
      </w:r>
      <w:r>
        <w:rPr>
          <w:w w:val="105"/>
          <w:sz w:val="22"/>
        </w:rPr>
        <w:t>sell,</w:t>
      </w:r>
      <w:r>
        <w:rPr>
          <w:spacing w:val="-4"/>
          <w:w w:val="105"/>
          <w:sz w:val="22"/>
        </w:rPr>
        <w:t> </w:t>
      </w:r>
      <w:r>
        <w:rPr>
          <w:w w:val="105"/>
          <w:sz w:val="22"/>
        </w:rPr>
        <w:t>the</w:t>
      </w:r>
      <w:r>
        <w:rPr>
          <w:spacing w:val="-9"/>
          <w:w w:val="105"/>
          <w:sz w:val="22"/>
        </w:rPr>
        <w:t> </w:t>
      </w:r>
      <w:r>
        <w:rPr>
          <w:w w:val="105"/>
          <w:sz w:val="22"/>
        </w:rPr>
        <w:t>whole</w:t>
      </w:r>
      <w:r>
        <w:rPr>
          <w:spacing w:val="-6"/>
          <w:w w:val="105"/>
          <w:sz w:val="22"/>
        </w:rPr>
        <w:t> </w:t>
      </w:r>
      <w:r>
        <w:rPr>
          <w:w w:val="105"/>
          <w:sz w:val="22"/>
        </w:rPr>
        <w:t>of</w:t>
      </w:r>
      <w:r>
        <w:rPr>
          <w:spacing w:val="-10"/>
          <w:w w:val="105"/>
          <w:sz w:val="22"/>
        </w:rPr>
        <w:t> </w:t>
      </w:r>
      <w:r>
        <w:rPr>
          <w:w w:val="105"/>
          <w:sz w:val="22"/>
        </w:rPr>
        <w:t>the</w:t>
      </w:r>
      <w:r>
        <w:rPr>
          <w:spacing w:val="-12"/>
          <w:w w:val="105"/>
          <w:sz w:val="22"/>
        </w:rPr>
        <w:t> </w:t>
      </w:r>
      <w:r>
        <w:rPr>
          <w:w w:val="105"/>
          <w:sz w:val="22"/>
        </w:rPr>
        <w:t>Horse;</w:t>
      </w:r>
    </w:p>
    <w:p>
      <w:pPr>
        <w:pStyle w:val="BodyText"/>
      </w:pPr>
    </w:p>
    <w:p>
      <w:pPr>
        <w:pStyle w:val="ListParagraph"/>
        <w:numPr>
          <w:ilvl w:val="2"/>
          <w:numId w:val="1"/>
        </w:numPr>
        <w:tabs>
          <w:tab w:pos="1452" w:val="left" w:leader="none"/>
          <w:tab w:pos="1453" w:val="left" w:leader="none"/>
        </w:tabs>
        <w:spacing w:line="252" w:lineRule="exact" w:before="0" w:after="0"/>
        <w:ind w:left="1452" w:right="0" w:hanging="566"/>
        <w:jc w:val="left"/>
        <w:rPr>
          <w:sz w:val="22"/>
        </w:rPr>
      </w:pPr>
      <w:r>
        <w:rPr>
          <w:w w:val="105"/>
          <w:sz w:val="22"/>
        </w:rPr>
        <w:t>pay</w:t>
      </w:r>
      <w:r>
        <w:rPr>
          <w:spacing w:val="36"/>
          <w:w w:val="105"/>
          <w:sz w:val="22"/>
        </w:rPr>
        <w:t> </w:t>
      </w:r>
      <w:r>
        <w:rPr>
          <w:spacing w:val="-10"/>
          <w:w w:val="105"/>
          <w:sz w:val="22"/>
        </w:rPr>
        <w:t>nomination,</w:t>
      </w:r>
      <w:r>
        <w:rPr>
          <w:spacing w:val="16"/>
          <w:w w:val="105"/>
          <w:sz w:val="22"/>
        </w:rPr>
        <w:t> </w:t>
      </w:r>
      <w:r>
        <w:rPr>
          <w:w w:val="105"/>
          <w:sz w:val="22"/>
        </w:rPr>
        <w:t>acceptance</w:t>
      </w:r>
      <w:r>
        <w:rPr>
          <w:spacing w:val="32"/>
          <w:w w:val="105"/>
          <w:sz w:val="22"/>
        </w:rPr>
        <w:t> </w:t>
      </w:r>
      <w:r>
        <w:rPr>
          <w:w w:val="105"/>
          <w:sz w:val="22"/>
        </w:rPr>
        <w:t>or</w:t>
      </w:r>
      <w:r>
        <w:rPr>
          <w:spacing w:val="35"/>
          <w:w w:val="105"/>
          <w:sz w:val="22"/>
        </w:rPr>
        <w:t> </w:t>
      </w:r>
      <w:r>
        <w:rPr>
          <w:w w:val="105"/>
          <w:sz w:val="22"/>
        </w:rPr>
        <w:t>late</w:t>
      </w:r>
      <w:r>
        <w:rPr>
          <w:spacing w:val="35"/>
          <w:w w:val="105"/>
          <w:sz w:val="22"/>
        </w:rPr>
        <w:t> </w:t>
      </w:r>
      <w:r>
        <w:rPr>
          <w:w w:val="105"/>
          <w:sz w:val="22"/>
        </w:rPr>
        <w:t>acceptance</w:t>
      </w:r>
      <w:r>
        <w:rPr>
          <w:spacing w:val="35"/>
          <w:w w:val="105"/>
          <w:sz w:val="22"/>
        </w:rPr>
        <w:t> </w:t>
      </w:r>
      <w:r>
        <w:rPr>
          <w:w w:val="105"/>
          <w:sz w:val="22"/>
        </w:rPr>
        <w:t>fees</w:t>
      </w:r>
      <w:r>
        <w:rPr>
          <w:spacing w:val="33"/>
          <w:w w:val="105"/>
          <w:sz w:val="22"/>
        </w:rPr>
        <w:t> </w:t>
      </w:r>
      <w:r>
        <w:rPr>
          <w:w w:val="105"/>
          <w:sz w:val="22"/>
        </w:rPr>
        <w:t>in</w:t>
      </w:r>
      <w:r>
        <w:rPr>
          <w:spacing w:val="32"/>
          <w:w w:val="105"/>
          <w:sz w:val="22"/>
        </w:rPr>
        <w:t> </w:t>
      </w:r>
      <w:r>
        <w:rPr>
          <w:w w:val="105"/>
          <w:sz w:val="22"/>
        </w:rPr>
        <w:t>an</w:t>
      </w:r>
      <w:r>
        <w:rPr>
          <w:spacing w:val="32"/>
          <w:w w:val="105"/>
          <w:sz w:val="22"/>
        </w:rPr>
        <w:t> </w:t>
      </w:r>
      <w:r>
        <w:rPr>
          <w:w w:val="105"/>
          <w:sz w:val="22"/>
        </w:rPr>
        <w:t>amount</w:t>
      </w:r>
      <w:r>
        <w:rPr>
          <w:spacing w:val="32"/>
          <w:w w:val="105"/>
          <w:sz w:val="22"/>
        </w:rPr>
        <w:t> </w:t>
      </w:r>
      <w:r>
        <w:rPr>
          <w:w w:val="105"/>
          <w:sz w:val="22"/>
        </w:rPr>
        <w:t>in</w:t>
      </w:r>
      <w:r>
        <w:rPr>
          <w:spacing w:val="35"/>
          <w:w w:val="105"/>
          <w:sz w:val="22"/>
        </w:rPr>
        <w:t> </w:t>
      </w:r>
      <w:r>
        <w:rPr>
          <w:w w:val="105"/>
          <w:sz w:val="22"/>
        </w:rPr>
        <w:t>excess</w:t>
      </w:r>
      <w:r>
        <w:rPr>
          <w:spacing w:val="35"/>
          <w:w w:val="105"/>
          <w:sz w:val="22"/>
        </w:rPr>
        <w:t> </w:t>
      </w:r>
      <w:r>
        <w:rPr>
          <w:w w:val="105"/>
          <w:sz w:val="22"/>
        </w:rPr>
        <w:t>of</w:t>
      </w:r>
    </w:p>
    <w:p>
      <w:pPr>
        <w:pStyle w:val="BodyText"/>
        <w:spacing w:line="252" w:lineRule="exact"/>
        <w:ind w:left="1452"/>
      </w:pPr>
      <w:r>
        <w:rPr>
          <w:w w:val="105"/>
        </w:rPr>
        <w:t>$10,000 (including GST) for the Horse to contest a race;</w:t>
      </w:r>
    </w:p>
    <w:p>
      <w:pPr>
        <w:pStyle w:val="BodyText"/>
        <w:spacing w:before="1"/>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relocate</w:t>
      </w:r>
      <w:r>
        <w:rPr>
          <w:spacing w:val="-7"/>
          <w:w w:val="105"/>
          <w:sz w:val="22"/>
        </w:rPr>
        <w:t> </w:t>
      </w:r>
      <w:r>
        <w:rPr>
          <w:w w:val="105"/>
          <w:sz w:val="22"/>
        </w:rPr>
        <w:t>the</w:t>
      </w:r>
      <w:r>
        <w:rPr>
          <w:spacing w:val="-9"/>
          <w:w w:val="105"/>
          <w:sz w:val="22"/>
        </w:rPr>
        <w:t> </w:t>
      </w:r>
      <w:r>
        <w:rPr>
          <w:w w:val="105"/>
          <w:sz w:val="22"/>
        </w:rPr>
        <w:t>Horse</w:t>
      </w:r>
      <w:r>
        <w:rPr>
          <w:spacing w:val="-9"/>
          <w:w w:val="105"/>
          <w:sz w:val="22"/>
        </w:rPr>
        <w:t> </w:t>
      </w:r>
      <w:r>
        <w:rPr>
          <w:w w:val="105"/>
          <w:sz w:val="22"/>
        </w:rPr>
        <w:t>to</w:t>
      </w:r>
      <w:r>
        <w:rPr>
          <w:spacing w:val="-7"/>
          <w:w w:val="105"/>
          <w:sz w:val="22"/>
        </w:rPr>
        <w:t> </w:t>
      </w:r>
      <w:r>
        <w:rPr>
          <w:spacing w:val="-6"/>
          <w:w w:val="105"/>
          <w:sz w:val="22"/>
        </w:rPr>
        <w:t>race</w:t>
      </w:r>
      <w:r>
        <w:rPr>
          <w:spacing w:val="-26"/>
          <w:w w:val="105"/>
          <w:sz w:val="22"/>
        </w:rPr>
        <w:t> </w:t>
      </w:r>
      <w:r>
        <w:rPr>
          <w:w w:val="105"/>
          <w:sz w:val="22"/>
        </w:rPr>
        <w:t>in</w:t>
      </w:r>
      <w:r>
        <w:rPr>
          <w:spacing w:val="-24"/>
          <w:w w:val="105"/>
          <w:sz w:val="22"/>
        </w:rPr>
        <w:t> </w:t>
      </w:r>
      <w:r>
        <w:rPr>
          <w:w w:val="105"/>
          <w:sz w:val="22"/>
        </w:rPr>
        <w:t>another</w:t>
      </w:r>
      <w:r>
        <w:rPr>
          <w:spacing w:val="-15"/>
          <w:w w:val="105"/>
          <w:sz w:val="22"/>
        </w:rPr>
        <w:t> </w:t>
      </w:r>
      <w:r>
        <w:rPr>
          <w:w w:val="105"/>
          <w:sz w:val="22"/>
        </w:rPr>
        <w:t>State,</w:t>
      </w:r>
      <w:r>
        <w:rPr>
          <w:spacing w:val="-9"/>
          <w:w w:val="105"/>
          <w:sz w:val="22"/>
        </w:rPr>
        <w:t> </w:t>
      </w:r>
      <w:r>
        <w:rPr>
          <w:w w:val="105"/>
          <w:sz w:val="22"/>
        </w:rPr>
        <w:t>Territory</w:t>
      </w:r>
      <w:r>
        <w:rPr>
          <w:spacing w:val="-1"/>
          <w:w w:val="105"/>
          <w:sz w:val="22"/>
        </w:rPr>
        <w:t> </w:t>
      </w:r>
      <w:r>
        <w:rPr>
          <w:w w:val="105"/>
          <w:sz w:val="22"/>
        </w:rPr>
        <w:t>or</w:t>
      </w:r>
      <w:r>
        <w:rPr>
          <w:spacing w:val="-8"/>
          <w:w w:val="105"/>
          <w:sz w:val="22"/>
        </w:rPr>
        <w:t> </w:t>
      </w:r>
      <w:r>
        <w:rPr>
          <w:w w:val="105"/>
          <w:sz w:val="22"/>
        </w:rPr>
        <w:t>Country;</w:t>
      </w:r>
    </w:p>
    <w:p>
      <w:pPr>
        <w:pStyle w:val="BodyText"/>
        <w:spacing w:before="9"/>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retire the</w:t>
      </w:r>
      <w:r>
        <w:rPr>
          <w:spacing w:val="-42"/>
          <w:w w:val="105"/>
          <w:sz w:val="22"/>
        </w:rPr>
        <w:t> </w:t>
      </w:r>
      <w:r>
        <w:rPr>
          <w:w w:val="105"/>
          <w:sz w:val="22"/>
        </w:rPr>
        <w:t>Horse;</w:t>
      </w:r>
    </w:p>
    <w:p>
      <w:pPr>
        <w:pStyle w:val="BodyText"/>
        <w:spacing w:before="1"/>
      </w:pPr>
    </w:p>
    <w:p>
      <w:pPr>
        <w:pStyle w:val="ListParagraph"/>
        <w:numPr>
          <w:ilvl w:val="2"/>
          <w:numId w:val="1"/>
        </w:numPr>
        <w:tabs>
          <w:tab w:pos="1453" w:val="left" w:leader="none"/>
        </w:tabs>
        <w:spacing w:line="240" w:lineRule="auto" w:before="0" w:after="0"/>
        <w:ind w:left="1452" w:right="227" w:hanging="566"/>
        <w:jc w:val="both"/>
        <w:rPr>
          <w:sz w:val="22"/>
        </w:rPr>
      </w:pPr>
      <w:r>
        <w:rPr>
          <w:w w:val="105"/>
          <w:sz w:val="22"/>
        </w:rPr>
        <w:t>pay or provide for a </w:t>
      </w:r>
      <w:r>
        <w:rPr>
          <w:spacing w:val="-10"/>
          <w:w w:val="105"/>
          <w:sz w:val="22"/>
        </w:rPr>
        <w:t>discretionary </w:t>
      </w:r>
      <w:r>
        <w:rPr>
          <w:w w:val="105"/>
          <w:sz w:val="22"/>
        </w:rPr>
        <w:t>bonus or commission to a jockey or to </w:t>
      </w:r>
      <w:r>
        <w:rPr>
          <w:spacing w:val="-3"/>
          <w:w w:val="105"/>
          <w:sz w:val="22"/>
        </w:rPr>
        <w:t>the  </w:t>
      </w:r>
      <w:r>
        <w:rPr>
          <w:w w:val="105"/>
          <w:sz w:val="22"/>
        </w:rPr>
        <w:t>Trainer (other than if prescribed by the agreement for Training Services between the Trainer and the</w:t>
      </w:r>
      <w:r>
        <w:rPr>
          <w:spacing w:val="-23"/>
          <w:w w:val="105"/>
          <w:sz w:val="22"/>
        </w:rPr>
        <w:t> </w:t>
      </w:r>
      <w:r>
        <w:rPr>
          <w:w w:val="105"/>
          <w:sz w:val="22"/>
        </w:rPr>
        <w:t>Co-owners);</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change</w:t>
      </w:r>
      <w:r>
        <w:rPr>
          <w:spacing w:val="-21"/>
          <w:w w:val="105"/>
          <w:sz w:val="22"/>
        </w:rPr>
        <w:t> </w:t>
      </w:r>
      <w:r>
        <w:rPr>
          <w:w w:val="105"/>
          <w:sz w:val="22"/>
        </w:rPr>
        <w:t>the</w:t>
      </w:r>
      <w:r>
        <w:rPr>
          <w:spacing w:val="-21"/>
          <w:w w:val="105"/>
          <w:sz w:val="22"/>
        </w:rPr>
        <w:t> </w:t>
      </w:r>
      <w:r>
        <w:rPr>
          <w:w w:val="105"/>
          <w:sz w:val="22"/>
        </w:rPr>
        <w:t>Managing</w:t>
      </w:r>
      <w:r>
        <w:rPr>
          <w:spacing w:val="-21"/>
          <w:w w:val="105"/>
          <w:sz w:val="22"/>
        </w:rPr>
        <w:t> </w:t>
      </w:r>
      <w:r>
        <w:rPr>
          <w:w w:val="105"/>
          <w:sz w:val="22"/>
        </w:rPr>
        <w:t>Owner</w:t>
      </w:r>
      <w:r>
        <w:rPr>
          <w:spacing w:val="-22"/>
          <w:w w:val="105"/>
          <w:sz w:val="22"/>
        </w:rPr>
        <w:t> </w:t>
      </w:r>
      <w:r>
        <w:rPr>
          <w:w w:val="105"/>
          <w:sz w:val="22"/>
        </w:rPr>
        <w:t>of</w:t>
      </w:r>
      <w:r>
        <w:rPr>
          <w:spacing w:val="-20"/>
          <w:w w:val="105"/>
          <w:sz w:val="22"/>
        </w:rPr>
        <w:t> </w:t>
      </w:r>
      <w:r>
        <w:rPr>
          <w:w w:val="105"/>
          <w:sz w:val="22"/>
        </w:rPr>
        <w:t>the</w:t>
      </w:r>
      <w:r>
        <w:rPr>
          <w:spacing w:val="-16"/>
          <w:w w:val="105"/>
          <w:sz w:val="22"/>
        </w:rPr>
        <w:t> </w:t>
      </w:r>
      <w:r>
        <w:rPr>
          <w:w w:val="105"/>
          <w:sz w:val="22"/>
        </w:rPr>
        <w:t>Horse;</w:t>
      </w:r>
      <w:r>
        <w:rPr>
          <w:spacing w:val="-2"/>
          <w:w w:val="105"/>
          <w:sz w:val="22"/>
        </w:rPr>
        <w:t> </w:t>
      </w:r>
      <w:r>
        <w:rPr>
          <w:w w:val="105"/>
          <w:sz w:val="22"/>
        </w:rPr>
        <w:t>and</w:t>
      </w:r>
    </w:p>
    <w:p>
      <w:pPr>
        <w:pStyle w:val="BodyText"/>
        <w:spacing w:before="1"/>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if</w:t>
      </w:r>
      <w:r>
        <w:rPr>
          <w:spacing w:val="-1"/>
          <w:w w:val="105"/>
          <w:sz w:val="22"/>
        </w:rPr>
        <w:t> </w:t>
      </w:r>
      <w:r>
        <w:rPr>
          <w:w w:val="105"/>
          <w:sz w:val="22"/>
        </w:rPr>
        <w:t>the</w:t>
      </w:r>
      <w:r>
        <w:rPr>
          <w:spacing w:val="-3"/>
          <w:w w:val="105"/>
          <w:sz w:val="22"/>
        </w:rPr>
        <w:t> </w:t>
      </w:r>
      <w:r>
        <w:rPr>
          <w:w w:val="105"/>
          <w:sz w:val="22"/>
        </w:rPr>
        <w:t>Horse</w:t>
      </w:r>
      <w:r>
        <w:rPr>
          <w:spacing w:val="-3"/>
          <w:w w:val="105"/>
          <w:sz w:val="22"/>
        </w:rPr>
        <w:t> </w:t>
      </w:r>
      <w:r>
        <w:rPr>
          <w:w w:val="105"/>
          <w:sz w:val="22"/>
        </w:rPr>
        <w:t>is used</w:t>
      </w:r>
      <w:r>
        <w:rPr>
          <w:spacing w:val="-2"/>
          <w:w w:val="105"/>
          <w:sz w:val="22"/>
        </w:rPr>
        <w:t> </w:t>
      </w:r>
      <w:r>
        <w:rPr>
          <w:w w:val="105"/>
          <w:sz w:val="22"/>
        </w:rPr>
        <w:t>for</w:t>
      </w:r>
      <w:r>
        <w:rPr>
          <w:spacing w:val="-4"/>
          <w:w w:val="105"/>
          <w:sz w:val="22"/>
        </w:rPr>
        <w:t> </w:t>
      </w:r>
      <w:r>
        <w:rPr>
          <w:w w:val="105"/>
          <w:sz w:val="22"/>
        </w:rPr>
        <w:t>breeding</w:t>
      </w:r>
      <w:r>
        <w:rPr>
          <w:spacing w:val="-3"/>
          <w:w w:val="105"/>
          <w:sz w:val="22"/>
        </w:rPr>
        <w:t> </w:t>
      </w:r>
      <w:r>
        <w:rPr>
          <w:w w:val="105"/>
          <w:sz w:val="22"/>
        </w:rPr>
        <w:t>as</w:t>
      </w:r>
      <w:r>
        <w:rPr>
          <w:spacing w:val="-2"/>
          <w:w w:val="105"/>
          <w:sz w:val="22"/>
        </w:rPr>
        <w:t> </w:t>
      </w:r>
      <w:r>
        <w:rPr>
          <w:w w:val="105"/>
          <w:sz w:val="22"/>
        </w:rPr>
        <w:t>part</w:t>
      </w:r>
      <w:r>
        <w:rPr>
          <w:spacing w:val="-4"/>
          <w:w w:val="105"/>
          <w:sz w:val="22"/>
        </w:rPr>
        <w:t> </w:t>
      </w:r>
      <w:r>
        <w:rPr>
          <w:w w:val="105"/>
          <w:sz w:val="22"/>
        </w:rPr>
        <w:t>of</w:t>
      </w:r>
      <w:r>
        <w:rPr>
          <w:spacing w:val="-3"/>
          <w:w w:val="105"/>
          <w:sz w:val="22"/>
        </w:rPr>
        <w:t> </w:t>
      </w:r>
      <w:r>
        <w:rPr>
          <w:w w:val="105"/>
          <w:sz w:val="22"/>
        </w:rPr>
        <w:t>the</w:t>
      </w:r>
      <w:r>
        <w:rPr>
          <w:spacing w:val="-3"/>
          <w:w w:val="105"/>
          <w:sz w:val="22"/>
        </w:rPr>
        <w:t> </w:t>
      </w:r>
      <w:r>
        <w:rPr>
          <w:w w:val="105"/>
          <w:sz w:val="22"/>
        </w:rPr>
        <w:t>Horse</w:t>
      </w:r>
      <w:r>
        <w:rPr>
          <w:spacing w:val="-5"/>
          <w:w w:val="105"/>
          <w:sz w:val="22"/>
        </w:rPr>
        <w:t> </w:t>
      </w:r>
      <w:r>
        <w:rPr>
          <w:w w:val="105"/>
          <w:sz w:val="22"/>
        </w:rPr>
        <w:t>Ownership</w:t>
      </w:r>
      <w:r>
        <w:rPr>
          <w:spacing w:val="-5"/>
          <w:w w:val="105"/>
          <w:sz w:val="22"/>
        </w:rPr>
        <w:t> </w:t>
      </w:r>
      <w:r>
        <w:rPr>
          <w:w w:val="105"/>
          <w:sz w:val="22"/>
        </w:rPr>
        <w:t>Venture,</w:t>
      </w:r>
      <w:r>
        <w:rPr>
          <w:spacing w:val="-30"/>
          <w:w w:val="105"/>
          <w:sz w:val="22"/>
        </w:rPr>
        <w:t> </w:t>
      </w:r>
      <w:r>
        <w:rPr>
          <w:w w:val="105"/>
          <w:sz w:val="22"/>
        </w:rPr>
        <w:t>then:</w:t>
      </w:r>
    </w:p>
    <w:p>
      <w:pPr>
        <w:pStyle w:val="BodyText"/>
        <w:spacing w:before="9"/>
        <w:rPr>
          <w:sz w:val="21"/>
        </w:rPr>
      </w:pPr>
    </w:p>
    <w:p>
      <w:pPr>
        <w:pStyle w:val="ListParagraph"/>
        <w:numPr>
          <w:ilvl w:val="3"/>
          <w:numId w:val="1"/>
        </w:numPr>
        <w:tabs>
          <w:tab w:pos="1738" w:val="left" w:leader="none"/>
        </w:tabs>
        <w:spacing w:line="240" w:lineRule="auto" w:before="0" w:after="0"/>
        <w:ind w:left="1738" w:right="236" w:hanging="286"/>
        <w:jc w:val="left"/>
        <w:rPr>
          <w:sz w:val="22"/>
        </w:rPr>
      </w:pPr>
      <w:r>
        <w:rPr>
          <w:w w:val="105"/>
          <w:sz w:val="22"/>
        </w:rPr>
        <w:t>if the Horse is an entire to be stood as a stallion, which stud the Horse should stand at and his service fee each</w:t>
      </w:r>
      <w:r>
        <w:rPr>
          <w:spacing w:val="-32"/>
          <w:w w:val="105"/>
          <w:sz w:val="22"/>
        </w:rPr>
        <w:t> </w:t>
      </w:r>
      <w:r>
        <w:rPr>
          <w:w w:val="105"/>
          <w:sz w:val="22"/>
        </w:rPr>
        <w:t>year;</w:t>
      </w:r>
    </w:p>
    <w:p>
      <w:pPr>
        <w:pStyle w:val="BodyText"/>
        <w:spacing w:before="9"/>
        <w:rPr>
          <w:sz w:val="21"/>
        </w:rPr>
      </w:pPr>
    </w:p>
    <w:p>
      <w:pPr>
        <w:pStyle w:val="BodyText"/>
        <w:ind w:left="1738" w:right="52" w:hanging="286"/>
      </w:pPr>
      <w:r>
        <w:rPr>
          <w:w w:val="105"/>
        </w:rPr>
        <w:t>(ii)</w:t>
      </w:r>
      <w:r>
        <w:rPr>
          <w:spacing w:val="-54"/>
          <w:w w:val="105"/>
        </w:rPr>
        <w:t> </w:t>
      </w:r>
      <w:r>
        <w:rPr>
          <w:w w:val="105"/>
        </w:rPr>
        <w:t>if the Horse is a filly or mare, whether she is to be bred in any given year and if so which stallion the Horse is to be bred to.</w:t>
      </w:r>
    </w:p>
    <w:p>
      <w:pPr>
        <w:pStyle w:val="BodyText"/>
        <w:spacing w:before="6"/>
        <w:rPr>
          <w:sz w:val="21"/>
        </w:rPr>
      </w:pPr>
    </w:p>
    <w:p>
      <w:pPr>
        <w:pStyle w:val="ListParagraph"/>
        <w:numPr>
          <w:ilvl w:val="1"/>
          <w:numId w:val="1"/>
        </w:numPr>
        <w:tabs>
          <w:tab w:pos="887" w:val="left" w:leader="none"/>
        </w:tabs>
        <w:spacing w:line="240" w:lineRule="auto" w:before="0" w:after="0"/>
        <w:ind w:left="886" w:right="238" w:hanging="567"/>
        <w:jc w:val="both"/>
        <w:rPr>
          <w:sz w:val="22"/>
        </w:rPr>
      </w:pPr>
      <w:r>
        <w:rPr>
          <w:sz w:val="22"/>
        </w:rPr>
        <w:t>The Managing Owner can only make the following decisions, and carry out  any  reasonable actions to effect those decisions, on behalf of the Co-owners with Special Consent:</w:t>
      </w:r>
    </w:p>
    <w:p>
      <w:pPr>
        <w:spacing w:after="0" w:line="240" w:lineRule="auto"/>
        <w:jc w:val="both"/>
        <w:rPr>
          <w:sz w:val="22"/>
        </w:rPr>
        <w:sectPr>
          <w:pgSz w:w="11900" w:h="16860"/>
          <w:pgMar w:header="0" w:footer="761" w:top="1060" w:bottom="1020" w:left="900" w:right="980"/>
        </w:sectPr>
      </w:pPr>
    </w:p>
    <w:p>
      <w:pPr>
        <w:pStyle w:val="ListParagraph"/>
        <w:numPr>
          <w:ilvl w:val="2"/>
          <w:numId w:val="1"/>
        </w:numPr>
        <w:tabs>
          <w:tab w:pos="1453" w:val="left" w:leader="none"/>
        </w:tabs>
        <w:spacing w:line="240" w:lineRule="auto" w:before="69" w:after="0"/>
        <w:ind w:left="1452" w:right="232" w:hanging="586"/>
        <w:jc w:val="both"/>
        <w:rPr>
          <w:sz w:val="22"/>
        </w:rPr>
      </w:pPr>
      <w:r>
        <w:rPr>
          <w:sz w:val="22"/>
        </w:rPr>
        <w:t>if the Horse is a colt or entire, stand the Horse as a stallion, either alone as part of the Horse Ownership Venture or in joint venture or partnership with</w:t>
      </w:r>
      <w:r>
        <w:rPr>
          <w:spacing w:val="-32"/>
          <w:sz w:val="22"/>
        </w:rPr>
        <w:t> </w:t>
      </w:r>
      <w:r>
        <w:rPr>
          <w:sz w:val="22"/>
        </w:rPr>
        <w:t>others;</w:t>
      </w:r>
    </w:p>
    <w:p>
      <w:pPr>
        <w:pStyle w:val="BodyText"/>
      </w:pPr>
    </w:p>
    <w:p>
      <w:pPr>
        <w:pStyle w:val="ListParagraph"/>
        <w:numPr>
          <w:ilvl w:val="2"/>
          <w:numId w:val="1"/>
        </w:numPr>
        <w:tabs>
          <w:tab w:pos="1453" w:val="left" w:leader="none"/>
        </w:tabs>
        <w:spacing w:line="240" w:lineRule="auto" w:before="0" w:after="0"/>
        <w:ind w:left="1452" w:right="234" w:hanging="586"/>
        <w:jc w:val="both"/>
        <w:rPr>
          <w:sz w:val="22"/>
        </w:rPr>
      </w:pPr>
      <w:r>
        <w:rPr>
          <w:sz w:val="22"/>
        </w:rPr>
        <w:t>if the Horse is a filly or mare, use the Horse as a broodmare rather than sell or retire her;</w:t>
      </w:r>
    </w:p>
    <w:p>
      <w:pPr>
        <w:pStyle w:val="BodyText"/>
        <w:spacing w:before="11"/>
        <w:rPr>
          <w:sz w:val="21"/>
        </w:rPr>
      </w:pPr>
    </w:p>
    <w:p>
      <w:pPr>
        <w:pStyle w:val="ListParagraph"/>
        <w:numPr>
          <w:ilvl w:val="2"/>
          <w:numId w:val="1"/>
        </w:numPr>
        <w:tabs>
          <w:tab w:pos="1453" w:val="left" w:leader="none"/>
        </w:tabs>
        <w:spacing w:line="240" w:lineRule="auto" w:before="0" w:after="0"/>
        <w:ind w:left="1452" w:right="223" w:hanging="586"/>
        <w:jc w:val="both"/>
        <w:rPr>
          <w:sz w:val="22"/>
        </w:rPr>
      </w:pPr>
      <w:r>
        <w:rPr>
          <w:sz w:val="22"/>
        </w:rPr>
        <w:t>change any of the terms of this Agreement, except that a decision to make Co- owners jointly and severally liable in respect of obligations in connection with the Horse Ownership Venture can only be made with Unanimous</w:t>
      </w:r>
      <w:r>
        <w:rPr>
          <w:spacing w:val="-24"/>
          <w:sz w:val="22"/>
        </w:rPr>
        <w:t> </w:t>
      </w:r>
      <w:r>
        <w:rPr>
          <w:sz w:val="22"/>
        </w:rPr>
        <w:t>Consent.</w:t>
      </w:r>
    </w:p>
    <w:p>
      <w:pPr>
        <w:pStyle w:val="BodyText"/>
        <w:spacing w:before="1"/>
      </w:pPr>
    </w:p>
    <w:p>
      <w:pPr>
        <w:pStyle w:val="ListParagraph"/>
        <w:numPr>
          <w:ilvl w:val="1"/>
          <w:numId w:val="1"/>
        </w:numPr>
        <w:tabs>
          <w:tab w:pos="887" w:val="left" w:leader="none"/>
        </w:tabs>
        <w:spacing w:line="240" w:lineRule="auto" w:before="0" w:after="0"/>
        <w:ind w:left="886" w:right="239" w:hanging="567"/>
        <w:jc w:val="both"/>
        <w:rPr>
          <w:sz w:val="22"/>
        </w:rPr>
      </w:pPr>
      <w:r>
        <w:rPr>
          <w:sz w:val="22"/>
        </w:rPr>
        <w:t>A decision to borrow funds for the purpose of the Horse Ownership Venture requires Unanimous</w:t>
      </w:r>
      <w:r>
        <w:rPr>
          <w:spacing w:val="-5"/>
          <w:sz w:val="22"/>
        </w:rPr>
        <w:t> </w:t>
      </w:r>
      <w:r>
        <w:rPr>
          <w:sz w:val="22"/>
        </w:rPr>
        <w:t>Consent.</w:t>
      </w:r>
    </w:p>
    <w:p>
      <w:pPr>
        <w:pStyle w:val="BodyText"/>
        <w:spacing w:before="11"/>
        <w:rPr>
          <w:sz w:val="21"/>
        </w:rPr>
      </w:pPr>
    </w:p>
    <w:p>
      <w:pPr>
        <w:pStyle w:val="ListParagraph"/>
        <w:numPr>
          <w:ilvl w:val="1"/>
          <w:numId w:val="1"/>
        </w:numPr>
        <w:tabs>
          <w:tab w:pos="887" w:val="left" w:leader="none"/>
        </w:tabs>
        <w:spacing w:line="240" w:lineRule="auto" w:before="0" w:after="0"/>
        <w:ind w:left="886" w:right="232" w:hanging="567"/>
        <w:jc w:val="both"/>
        <w:rPr>
          <w:sz w:val="22"/>
        </w:rPr>
      </w:pPr>
      <w:r>
        <w:rPr>
          <w:w w:val="105"/>
          <w:sz w:val="22"/>
        </w:rPr>
        <w:t>Other than as provided in clauses 3.6 to 3.8, and subject to the obligations of the Managing Owner in clauses 3.4 and 3.5, the Managing Owner can make all other  decisions reasonably required for the purpose of managing the Horse Ownership Venture as the Managing Owner sees fit in his or her absolute</w:t>
      </w:r>
      <w:r>
        <w:rPr>
          <w:spacing w:val="-45"/>
          <w:w w:val="105"/>
          <w:sz w:val="22"/>
        </w:rPr>
        <w:t> </w:t>
      </w:r>
      <w:r>
        <w:rPr>
          <w:w w:val="105"/>
          <w:sz w:val="22"/>
        </w:rPr>
        <w:t>discretion.</w:t>
      </w:r>
    </w:p>
    <w:p>
      <w:pPr>
        <w:pStyle w:val="BodyText"/>
      </w:pPr>
    </w:p>
    <w:p>
      <w:pPr>
        <w:pStyle w:val="ListParagraph"/>
        <w:numPr>
          <w:ilvl w:val="1"/>
          <w:numId w:val="1"/>
        </w:numPr>
        <w:tabs>
          <w:tab w:pos="887" w:val="left" w:leader="none"/>
        </w:tabs>
        <w:spacing w:line="240" w:lineRule="auto" w:before="1" w:after="0"/>
        <w:ind w:left="886" w:right="226" w:hanging="567"/>
        <w:jc w:val="both"/>
        <w:rPr>
          <w:sz w:val="22"/>
        </w:rPr>
      </w:pPr>
      <w:r>
        <w:rPr>
          <w:sz w:val="22"/>
        </w:rPr>
        <w:t>Further to clause 3.9, a decision to humanely euthanise the Horse on animal welfare grounds can only be made by a Managing Owner (or other Owner when the Managing Owner is unavailable) upon receiving the advice of a qualified veterinary surgeon to the effect that the Horse should be humanely euthanised on animal welfare</w:t>
      </w:r>
      <w:r>
        <w:rPr>
          <w:spacing w:val="-21"/>
          <w:sz w:val="22"/>
        </w:rPr>
        <w:t> </w:t>
      </w:r>
      <w:r>
        <w:rPr>
          <w:sz w:val="22"/>
        </w:rPr>
        <w:t>grounds.</w:t>
      </w:r>
    </w:p>
    <w:p>
      <w:pPr>
        <w:pStyle w:val="BodyText"/>
        <w:spacing w:before="11"/>
        <w:rPr>
          <w:sz w:val="21"/>
        </w:rPr>
      </w:pPr>
    </w:p>
    <w:p>
      <w:pPr>
        <w:pStyle w:val="ListParagraph"/>
        <w:numPr>
          <w:ilvl w:val="1"/>
          <w:numId w:val="1"/>
        </w:numPr>
        <w:tabs>
          <w:tab w:pos="887" w:val="left" w:leader="none"/>
        </w:tabs>
        <w:spacing w:line="240" w:lineRule="auto" w:before="0" w:after="0"/>
        <w:ind w:left="886" w:right="226" w:hanging="567"/>
        <w:jc w:val="both"/>
        <w:rPr>
          <w:sz w:val="22"/>
        </w:rPr>
      </w:pPr>
      <w:r>
        <w:rPr>
          <w:w w:val="105"/>
          <w:sz w:val="22"/>
        </w:rPr>
        <w:t>If Special Consent is obtained to use the Horse for breeding purposes as set out in clause 3.7, then any of the Co-owners that disagree with that decision (</w:t>
      </w:r>
      <w:r>
        <w:rPr>
          <w:b/>
          <w:w w:val="105"/>
          <w:sz w:val="22"/>
        </w:rPr>
        <w:t>the Objecting Owner</w:t>
      </w:r>
      <w:r>
        <w:rPr>
          <w:w w:val="105"/>
          <w:sz w:val="22"/>
        </w:rPr>
        <w:t>) may in addition to their rights to sell that person’s Owner’s interest pursuant to clause 4.3 below, elect to surrender his or her Owner’s interest in the Horse free of charge to the other Co-owners, provided</w:t>
      </w:r>
      <w:r>
        <w:rPr>
          <w:spacing w:val="-29"/>
          <w:w w:val="105"/>
          <w:sz w:val="22"/>
        </w:rPr>
        <w:t> </w:t>
      </w:r>
      <w:r>
        <w:rPr>
          <w:w w:val="105"/>
          <w:sz w:val="22"/>
        </w:rPr>
        <w:t>that:</w:t>
      </w:r>
    </w:p>
    <w:p>
      <w:pPr>
        <w:pStyle w:val="BodyText"/>
        <w:spacing w:before="10"/>
        <w:rPr>
          <w:sz w:val="21"/>
        </w:rPr>
      </w:pPr>
    </w:p>
    <w:p>
      <w:pPr>
        <w:pStyle w:val="ListParagraph"/>
        <w:numPr>
          <w:ilvl w:val="2"/>
          <w:numId w:val="1"/>
        </w:numPr>
        <w:tabs>
          <w:tab w:pos="1453" w:val="left" w:leader="none"/>
        </w:tabs>
        <w:spacing w:line="240" w:lineRule="auto" w:before="0" w:after="0"/>
        <w:ind w:left="1452" w:right="236" w:hanging="566"/>
        <w:jc w:val="both"/>
        <w:rPr>
          <w:sz w:val="22"/>
        </w:rPr>
      </w:pPr>
      <w:r>
        <w:rPr>
          <w:w w:val="105"/>
          <w:sz w:val="22"/>
        </w:rPr>
        <w:t>such election must be notified in writing by the Objecting Owner to the Managing Owner within seven days of the Objecting Owner being notified of the decision to use the Horse for breeding purposes;</w:t>
      </w:r>
      <w:r>
        <w:rPr>
          <w:spacing w:val="-23"/>
          <w:w w:val="105"/>
          <w:sz w:val="22"/>
        </w:rPr>
        <w:t> </w:t>
      </w:r>
      <w:r>
        <w:rPr>
          <w:w w:val="105"/>
          <w:sz w:val="22"/>
        </w:rPr>
        <w:t>and</w:t>
      </w:r>
    </w:p>
    <w:p>
      <w:pPr>
        <w:pStyle w:val="BodyText"/>
        <w:spacing w:before="11"/>
        <w:rPr>
          <w:sz w:val="21"/>
        </w:rPr>
      </w:pPr>
    </w:p>
    <w:p>
      <w:pPr>
        <w:pStyle w:val="ListParagraph"/>
        <w:numPr>
          <w:ilvl w:val="2"/>
          <w:numId w:val="1"/>
        </w:numPr>
        <w:tabs>
          <w:tab w:pos="1453" w:val="left" w:leader="none"/>
        </w:tabs>
        <w:spacing w:line="240" w:lineRule="auto" w:before="0" w:after="0"/>
        <w:ind w:left="1452" w:right="237" w:hanging="566"/>
        <w:jc w:val="both"/>
        <w:rPr>
          <w:sz w:val="22"/>
        </w:rPr>
      </w:pPr>
      <w:r>
        <w:rPr>
          <w:w w:val="105"/>
          <w:sz w:val="22"/>
        </w:rPr>
        <w:t>such notice will be deemed to authorise the Managing Owner as the Objecting Owner’s authorised agent to sign a transfer of the Owner’s interest belonging to the Objecting Owner as required by this Agreement and to do all other things reasonably required to give effect to the</w:t>
      </w:r>
      <w:r>
        <w:rPr>
          <w:spacing w:val="-24"/>
          <w:w w:val="105"/>
          <w:sz w:val="22"/>
        </w:rPr>
        <w:t> </w:t>
      </w:r>
      <w:r>
        <w:rPr>
          <w:w w:val="105"/>
          <w:sz w:val="22"/>
        </w:rPr>
        <w:t>transfer.</w:t>
      </w:r>
    </w:p>
    <w:p>
      <w:pPr>
        <w:pStyle w:val="BodyText"/>
        <w:spacing w:before="11"/>
        <w:rPr>
          <w:sz w:val="21"/>
        </w:rPr>
      </w:pPr>
    </w:p>
    <w:p>
      <w:pPr>
        <w:pStyle w:val="ListParagraph"/>
        <w:numPr>
          <w:ilvl w:val="1"/>
          <w:numId w:val="1"/>
        </w:numPr>
        <w:tabs>
          <w:tab w:pos="887" w:val="left" w:leader="none"/>
        </w:tabs>
        <w:spacing w:line="240" w:lineRule="auto" w:before="0" w:after="0"/>
        <w:ind w:left="886" w:right="234" w:hanging="567"/>
        <w:jc w:val="both"/>
        <w:rPr>
          <w:sz w:val="22"/>
        </w:rPr>
      </w:pPr>
      <w:r>
        <w:rPr>
          <w:w w:val="105"/>
          <w:sz w:val="22"/>
        </w:rPr>
        <w:t>Subject to clause 3.13, from the date the Objecting Owner notifies the Managing Owner of the election referred to in clause 3.11, the Objecting Owner will not be responsible for any costs incurred after that date in respect of the Horse or Horse Ownership Venture or be entitled to any revenue earned in respect of either after that date.</w:t>
      </w:r>
    </w:p>
    <w:p>
      <w:pPr>
        <w:pStyle w:val="BodyText"/>
        <w:spacing w:before="11"/>
        <w:rPr>
          <w:sz w:val="21"/>
        </w:rPr>
      </w:pPr>
    </w:p>
    <w:p>
      <w:pPr>
        <w:pStyle w:val="ListParagraph"/>
        <w:numPr>
          <w:ilvl w:val="1"/>
          <w:numId w:val="1"/>
        </w:numPr>
        <w:tabs>
          <w:tab w:pos="887" w:val="left" w:leader="none"/>
        </w:tabs>
        <w:spacing w:line="240" w:lineRule="auto" w:before="0" w:after="0"/>
        <w:ind w:left="886" w:right="229" w:hanging="567"/>
        <w:jc w:val="both"/>
        <w:rPr>
          <w:sz w:val="22"/>
        </w:rPr>
      </w:pPr>
      <w:r>
        <w:rPr>
          <w:w w:val="105"/>
          <w:sz w:val="22"/>
        </w:rPr>
        <w:t>Until the Objecting Owner has paid his or her share of all outstanding invoices and expenses previously owing by him or her in respect of the Horse and signed a transfer of his or her Owner’s interest as directed by the Managing Owner, the Objecting Owner will continue to be responsible for all ongoing costs and expenses relating to the  Objecting Owner’s interest in the</w:t>
      </w:r>
      <w:r>
        <w:rPr>
          <w:spacing w:val="-23"/>
          <w:w w:val="105"/>
          <w:sz w:val="22"/>
        </w:rPr>
        <w:t> </w:t>
      </w:r>
      <w:r>
        <w:rPr>
          <w:w w:val="105"/>
          <w:sz w:val="22"/>
        </w:rPr>
        <w:t>Horse.</w:t>
      </w:r>
    </w:p>
    <w:p>
      <w:pPr>
        <w:pStyle w:val="BodyText"/>
        <w:spacing w:before="10"/>
        <w:rPr>
          <w:sz w:val="21"/>
        </w:rPr>
      </w:pPr>
    </w:p>
    <w:p>
      <w:pPr>
        <w:pStyle w:val="ListParagraph"/>
        <w:numPr>
          <w:ilvl w:val="1"/>
          <w:numId w:val="1"/>
        </w:numPr>
        <w:tabs>
          <w:tab w:pos="887" w:val="left" w:leader="none"/>
        </w:tabs>
        <w:spacing w:line="240" w:lineRule="auto" w:before="1" w:after="0"/>
        <w:ind w:left="886" w:right="231" w:hanging="567"/>
        <w:jc w:val="both"/>
        <w:rPr>
          <w:sz w:val="22"/>
        </w:rPr>
      </w:pPr>
      <w:r>
        <w:rPr>
          <w:w w:val="105"/>
          <w:sz w:val="22"/>
        </w:rPr>
        <w:t>The Objecting Owner’s interest in the Horse will, after provision of the written notice of election by the Objecting Owner referred to in clause 3.11(a), be allocated between the other Co-owners pro rata to their respective ownership shares in the</w:t>
      </w:r>
      <w:r>
        <w:rPr>
          <w:spacing w:val="-41"/>
          <w:w w:val="105"/>
          <w:sz w:val="22"/>
        </w:rPr>
        <w:t> </w:t>
      </w:r>
      <w:r>
        <w:rPr>
          <w:w w:val="105"/>
          <w:sz w:val="22"/>
        </w:rPr>
        <w:t>Horse.</w:t>
      </w:r>
    </w:p>
    <w:p>
      <w:pPr>
        <w:spacing w:after="0" w:line="240" w:lineRule="auto"/>
        <w:jc w:val="both"/>
        <w:rPr>
          <w:sz w:val="22"/>
        </w:rPr>
        <w:sectPr>
          <w:pgSz w:w="11900" w:h="16860"/>
          <w:pgMar w:header="0" w:footer="761" w:top="1060" w:bottom="1020" w:left="900" w:right="980"/>
        </w:sectPr>
      </w:pPr>
    </w:p>
    <w:p>
      <w:pPr>
        <w:pStyle w:val="Heading2"/>
        <w:numPr>
          <w:ilvl w:val="0"/>
          <w:numId w:val="1"/>
        </w:numPr>
        <w:tabs>
          <w:tab w:pos="885" w:val="left" w:leader="none"/>
          <w:tab w:pos="887" w:val="left" w:leader="none"/>
        </w:tabs>
        <w:spacing w:line="240" w:lineRule="auto" w:before="69" w:after="0"/>
        <w:ind w:left="886" w:right="0" w:hanging="567"/>
        <w:jc w:val="left"/>
      </w:pPr>
      <w:r>
        <w:rPr>
          <w:w w:val="105"/>
        </w:rPr>
        <w:t>THE SALE OR TRANSFER OF AN INTEREST IN THE HORSE BY A</w:t>
      </w:r>
      <w:r>
        <w:rPr>
          <w:spacing w:val="-31"/>
          <w:w w:val="105"/>
        </w:rPr>
        <w:t> </w:t>
      </w:r>
      <w:r>
        <w:rPr>
          <w:w w:val="105"/>
        </w:rPr>
        <w:t>CO-OWNER</w:t>
      </w:r>
    </w:p>
    <w:p>
      <w:pPr>
        <w:pStyle w:val="BodyText"/>
        <w:spacing w:before="3"/>
        <w:rPr>
          <w:b/>
        </w:rPr>
      </w:pPr>
    </w:p>
    <w:p>
      <w:pPr>
        <w:pStyle w:val="ListParagraph"/>
        <w:numPr>
          <w:ilvl w:val="1"/>
          <w:numId w:val="1"/>
        </w:numPr>
        <w:tabs>
          <w:tab w:pos="887" w:val="left" w:leader="none"/>
        </w:tabs>
        <w:spacing w:line="240" w:lineRule="auto" w:before="1" w:after="0"/>
        <w:ind w:left="886" w:right="222" w:hanging="567"/>
        <w:jc w:val="both"/>
        <w:rPr>
          <w:sz w:val="22"/>
        </w:rPr>
      </w:pPr>
      <w:r>
        <w:rPr>
          <w:w w:val="105"/>
          <w:sz w:val="22"/>
        </w:rPr>
        <w:t>Any transfer or sale of an Owner’s interest in the Horse by a Co-owner is </w:t>
      </w:r>
      <w:r>
        <w:rPr>
          <w:spacing w:val="-5"/>
          <w:w w:val="105"/>
          <w:sz w:val="22"/>
        </w:rPr>
        <w:t>conditional </w:t>
      </w:r>
      <w:r>
        <w:rPr>
          <w:w w:val="105"/>
          <w:sz w:val="22"/>
        </w:rPr>
        <w:t>upon the prospective purchaser or transferee of the interest in the Horse being, or capable of being, </w:t>
      </w:r>
      <w:r>
        <w:rPr>
          <w:spacing w:val="-4"/>
          <w:w w:val="105"/>
          <w:sz w:val="22"/>
        </w:rPr>
        <w:t>registered </w:t>
      </w:r>
      <w:r>
        <w:rPr>
          <w:w w:val="105"/>
          <w:sz w:val="22"/>
        </w:rPr>
        <w:t>as an owner under the Rules of Racing, and having  completed and </w:t>
      </w:r>
      <w:r>
        <w:rPr>
          <w:spacing w:val="-3"/>
          <w:w w:val="105"/>
          <w:sz w:val="22"/>
        </w:rPr>
        <w:t>lodged </w:t>
      </w:r>
      <w:r>
        <w:rPr>
          <w:w w:val="105"/>
          <w:sz w:val="22"/>
        </w:rPr>
        <w:t>the relevant registration documentation with Racing </w:t>
      </w:r>
      <w:r>
        <w:rPr>
          <w:spacing w:val="-5"/>
          <w:w w:val="105"/>
          <w:sz w:val="22"/>
        </w:rPr>
        <w:t>Australia </w:t>
      </w:r>
      <w:r>
        <w:rPr>
          <w:w w:val="105"/>
          <w:sz w:val="22"/>
        </w:rPr>
        <w:t>to take that Owner’s</w:t>
      </w:r>
      <w:r>
        <w:rPr>
          <w:spacing w:val="-31"/>
          <w:w w:val="105"/>
          <w:sz w:val="22"/>
        </w:rPr>
        <w:t> </w:t>
      </w:r>
      <w:r>
        <w:rPr>
          <w:spacing w:val="-4"/>
          <w:w w:val="105"/>
          <w:sz w:val="22"/>
        </w:rPr>
        <w:t>interest.</w:t>
      </w:r>
    </w:p>
    <w:p>
      <w:pPr>
        <w:pStyle w:val="BodyText"/>
        <w:spacing w:before="1"/>
      </w:pPr>
    </w:p>
    <w:p>
      <w:pPr>
        <w:pStyle w:val="ListParagraph"/>
        <w:numPr>
          <w:ilvl w:val="1"/>
          <w:numId w:val="1"/>
        </w:numPr>
        <w:tabs>
          <w:tab w:pos="885" w:val="left" w:leader="none"/>
          <w:tab w:pos="887" w:val="left" w:leader="none"/>
        </w:tabs>
        <w:spacing w:line="240" w:lineRule="auto" w:before="0" w:after="0"/>
        <w:ind w:left="886" w:right="369" w:hanging="567"/>
        <w:jc w:val="left"/>
        <w:rPr>
          <w:sz w:val="22"/>
        </w:rPr>
      </w:pPr>
      <w:r>
        <w:rPr>
          <w:w w:val="105"/>
          <w:sz w:val="22"/>
        </w:rPr>
        <w:t>Approval by Majority Consent is required for the sale or transfer of an Owner’s  interest</w:t>
      </w:r>
      <w:r>
        <w:rPr>
          <w:spacing w:val="-7"/>
          <w:w w:val="105"/>
          <w:sz w:val="22"/>
        </w:rPr>
        <w:t> </w:t>
      </w:r>
      <w:r>
        <w:rPr>
          <w:w w:val="105"/>
          <w:sz w:val="22"/>
        </w:rPr>
        <w:t>in</w:t>
      </w:r>
      <w:r>
        <w:rPr>
          <w:spacing w:val="-38"/>
          <w:w w:val="105"/>
          <w:sz w:val="22"/>
        </w:rPr>
        <w:t> </w:t>
      </w:r>
      <w:r>
        <w:rPr>
          <w:w w:val="105"/>
          <w:sz w:val="22"/>
        </w:rPr>
        <w:t>the</w:t>
      </w:r>
      <w:r>
        <w:rPr>
          <w:spacing w:val="-4"/>
          <w:w w:val="105"/>
          <w:sz w:val="22"/>
        </w:rPr>
        <w:t> </w:t>
      </w:r>
      <w:r>
        <w:rPr>
          <w:w w:val="105"/>
          <w:sz w:val="22"/>
        </w:rPr>
        <w:t>Horse,</w:t>
      </w:r>
      <w:r>
        <w:rPr>
          <w:spacing w:val="-4"/>
          <w:w w:val="105"/>
          <w:sz w:val="22"/>
        </w:rPr>
        <w:t> </w:t>
      </w:r>
      <w:r>
        <w:rPr>
          <w:w w:val="105"/>
          <w:sz w:val="22"/>
        </w:rPr>
        <w:t>except</w:t>
      </w:r>
      <w:r>
        <w:rPr>
          <w:spacing w:val="-5"/>
          <w:w w:val="105"/>
          <w:sz w:val="22"/>
        </w:rPr>
        <w:t> </w:t>
      </w:r>
      <w:r>
        <w:rPr>
          <w:w w:val="105"/>
          <w:sz w:val="22"/>
        </w:rPr>
        <w:t>in</w:t>
      </w:r>
      <w:r>
        <w:rPr>
          <w:spacing w:val="-2"/>
          <w:w w:val="105"/>
          <w:sz w:val="22"/>
        </w:rPr>
        <w:t> </w:t>
      </w:r>
      <w:r>
        <w:rPr>
          <w:w w:val="105"/>
          <w:sz w:val="22"/>
        </w:rPr>
        <w:t>the</w:t>
      </w:r>
      <w:r>
        <w:rPr>
          <w:spacing w:val="-2"/>
          <w:w w:val="105"/>
          <w:sz w:val="22"/>
        </w:rPr>
        <w:t> </w:t>
      </w:r>
      <w:r>
        <w:rPr>
          <w:spacing w:val="-4"/>
          <w:w w:val="105"/>
          <w:sz w:val="22"/>
        </w:rPr>
        <w:t>following</w:t>
      </w:r>
      <w:r>
        <w:rPr>
          <w:spacing w:val="-43"/>
          <w:w w:val="105"/>
          <w:sz w:val="22"/>
        </w:rPr>
        <w:t> </w:t>
      </w:r>
      <w:r>
        <w:rPr>
          <w:w w:val="105"/>
          <w:sz w:val="22"/>
        </w:rPr>
        <w:t>circumstances:</w:t>
      </w:r>
    </w:p>
    <w:p>
      <w:pPr>
        <w:pStyle w:val="BodyText"/>
        <w:spacing w:before="8"/>
        <w:rPr>
          <w:sz w:val="21"/>
        </w:rPr>
      </w:pPr>
    </w:p>
    <w:p>
      <w:pPr>
        <w:pStyle w:val="ListParagraph"/>
        <w:numPr>
          <w:ilvl w:val="2"/>
          <w:numId w:val="1"/>
        </w:numPr>
        <w:tabs>
          <w:tab w:pos="1453" w:val="left" w:leader="none"/>
        </w:tabs>
        <w:spacing w:line="240" w:lineRule="auto" w:before="0" w:after="0"/>
        <w:ind w:left="1452" w:right="234" w:hanging="566"/>
        <w:jc w:val="both"/>
        <w:rPr>
          <w:sz w:val="22"/>
        </w:rPr>
      </w:pPr>
      <w:r>
        <w:rPr>
          <w:w w:val="105"/>
          <w:sz w:val="22"/>
        </w:rPr>
        <w:t>where the sale or transfer is to a legal personal representative of a deceased </w:t>
      </w:r>
      <w:r>
        <w:rPr>
          <w:spacing w:val="1"/>
          <w:w w:val="105"/>
          <w:sz w:val="22"/>
        </w:rPr>
        <w:t>Co- </w:t>
      </w:r>
      <w:r>
        <w:rPr>
          <w:w w:val="105"/>
          <w:sz w:val="22"/>
        </w:rPr>
        <w:t>owner;</w:t>
      </w:r>
    </w:p>
    <w:p>
      <w:pPr>
        <w:pStyle w:val="BodyText"/>
      </w:pPr>
    </w:p>
    <w:p>
      <w:pPr>
        <w:pStyle w:val="ListParagraph"/>
        <w:numPr>
          <w:ilvl w:val="2"/>
          <w:numId w:val="1"/>
        </w:numPr>
        <w:tabs>
          <w:tab w:pos="1453" w:val="left" w:leader="none"/>
        </w:tabs>
        <w:spacing w:line="240" w:lineRule="auto" w:before="0" w:after="0"/>
        <w:ind w:left="1452" w:right="227" w:hanging="566"/>
        <w:jc w:val="both"/>
        <w:rPr>
          <w:sz w:val="22"/>
        </w:rPr>
      </w:pPr>
      <w:r>
        <w:rPr>
          <w:w w:val="105"/>
          <w:sz w:val="22"/>
        </w:rPr>
        <w:t>where the sale or </w:t>
      </w:r>
      <w:r>
        <w:rPr>
          <w:spacing w:val="-5"/>
          <w:w w:val="105"/>
          <w:sz w:val="22"/>
        </w:rPr>
        <w:t>transfer </w:t>
      </w:r>
      <w:r>
        <w:rPr>
          <w:w w:val="105"/>
          <w:sz w:val="22"/>
        </w:rPr>
        <w:t>is by the legal personal </w:t>
      </w:r>
      <w:r>
        <w:rPr>
          <w:spacing w:val="-5"/>
          <w:w w:val="105"/>
          <w:sz w:val="22"/>
        </w:rPr>
        <w:t>representative </w:t>
      </w:r>
      <w:r>
        <w:rPr>
          <w:w w:val="105"/>
          <w:sz w:val="22"/>
        </w:rPr>
        <w:t>of a deceased Co-owner</w:t>
      </w:r>
      <w:r>
        <w:rPr>
          <w:spacing w:val="-9"/>
          <w:w w:val="105"/>
          <w:sz w:val="22"/>
        </w:rPr>
        <w:t> </w:t>
      </w:r>
      <w:r>
        <w:rPr>
          <w:w w:val="105"/>
          <w:sz w:val="22"/>
        </w:rPr>
        <w:t>to</w:t>
      </w:r>
      <w:r>
        <w:rPr>
          <w:spacing w:val="-10"/>
          <w:w w:val="105"/>
          <w:sz w:val="22"/>
        </w:rPr>
        <w:t> </w:t>
      </w:r>
      <w:r>
        <w:rPr>
          <w:w w:val="105"/>
          <w:sz w:val="22"/>
        </w:rPr>
        <w:t>the</w:t>
      </w:r>
      <w:r>
        <w:rPr>
          <w:spacing w:val="-11"/>
          <w:w w:val="105"/>
          <w:sz w:val="22"/>
        </w:rPr>
        <w:t> </w:t>
      </w:r>
      <w:r>
        <w:rPr>
          <w:w w:val="105"/>
          <w:sz w:val="22"/>
        </w:rPr>
        <w:t>heir</w:t>
      </w:r>
      <w:r>
        <w:rPr>
          <w:spacing w:val="-2"/>
          <w:w w:val="105"/>
          <w:sz w:val="22"/>
        </w:rPr>
        <w:t> </w:t>
      </w:r>
      <w:r>
        <w:rPr>
          <w:w w:val="105"/>
          <w:sz w:val="22"/>
        </w:rPr>
        <w:t>or</w:t>
      </w:r>
      <w:r>
        <w:rPr>
          <w:spacing w:val="-15"/>
          <w:w w:val="105"/>
          <w:sz w:val="22"/>
        </w:rPr>
        <w:t> </w:t>
      </w:r>
      <w:r>
        <w:rPr>
          <w:spacing w:val="-5"/>
          <w:w w:val="105"/>
          <w:sz w:val="22"/>
        </w:rPr>
        <w:t>beneficiary</w:t>
      </w:r>
      <w:r>
        <w:rPr>
          <w:spacing w:val="-12"/>
          <w:w w:val="105"/>
          <w:sz w:val="22"/>
        </w:rPr>
        <w:t> </w:t>
      </w:r>
      <w:r>
        <w:rPr>
          <w:w w:val="105"/>
          <w:sz w:val="22"/>
        </w:rPr>
        <w:t>of</w:t>
      </w:r>
      <w:r>
        <w:rPr>
          <w:spacing w:val="-7"/>
          <w:w w:val="105"/>
          <w:sz w:val="22"/>
        </w:rPr>
        <w:t> </w:t>
      </w:r>
      <w:r>
        <w:rPr>
          <w:w w:val="105"/>
          <w:sz w:val="22"/>
        </w:rPr>
        <w:t>the</w:t>
      </w:r>
      <w:r>
        <w:rPr>
          <w:spacing w:val="-6"/>
          <w:w w:val="105"/>
          <w:sz w:val="22"/>
        </w:rPr>
        <w:t> </w:t>
      </w:r>
      <w:r>
        <w:rPr>
          <w:w w:val="105"/>
          <w:sz w:val="22"/>
        </w:rPr>
        <w:t>estate</w:t>
      </w:r>
      <w:r>
        <w:rPr>
          <w:spacing w:val="-8"/>
          <w:w w:val="105"/>
          <w:sz w:val="22"/>
        </w:rPr>
        <w:t> </w:t>
      </w:r>
      <w:r>
        <w:rPr>
          <w:w w:val="105"/>
          <w:sz w:val="22"/>
        </w:rPr>
        <w:t>of</w:t>
      </w:r>
      <w:r>
        <w:rPr>
          <w:spacing w:val="-7"/>
          <w:w w:val="105"/>
          <w:sz w:val="22"/>
        </w:rPr>
        <w:t> </w:t>
      </w:r>
      <w:r>
        <w:rPr>
          <w:w w:val="105"/>
          <w:sz w:val="22"/>
        </w:rPr>
        <w:t>a</w:t>
      </w:r>
      <w:r>
        <w:rPr>
          <w:spacing w:val="-9"/>
          <w:w w:val="105"/>
          <w:sz w:val="22"/>
        </w:rPr>
        <w:t> </w:t>
      </w:r>
      <w:r>
        <w:rPr>
          <w:w w:val="105"/>
          <w:sz w:val="22"/>
        </w:rPr>
        <w:t>deceased</w:t>
      </w:r>
      <w:r>
        <w:rPr>
          <w:spacing w:val="-5"/>
          <w:w w:val="105"/>
          <w:sz w:val="22"/>
        </w:rPr>
        <w:t> </w:t>
      </w:r>
      <w:r>
        <w:rPr>
          <w:spacing w:val="-4"/>
          <w:w w:val="105"/>
          <w:sz w:val="22"/>
        </w:rPr>
        <w:t>Co-owner;</w:t>
      </w:r>
    </w:p>
    <w:p>
      <w:pPr>
        <w:pStyle w:val="BodyText"/>
      </w:pPr>
    </w:p>
    <w:p>
      <w:pPr>
        <w:pStyle w:val="ListParagraph"/>
        <w:numPr>
          <w:ilvl w:val="2"/>
          <w:numId w:val="1"/>
        </w:numPr>
        <w:tabs>
          <w:tab w:pos="1453" w:val="left" w:leader="none"/>
        </w:tabs>
        <w:spacing w:line="240" w:lineRule="auto" w:before="0" w:after="0"/>
        <w:ind w:left="1452" w:right="228" w:hanging="566"/>
        <w:jc w:val="both"/>
        <w:rPr>
          <w:sz w:val="22"/>
        </w:rPr>
      </w:pPr>
      <w:r>
        <w:rPr>
          <w:w w:val="105"/>
          <w:sz w:val="22"/>
        </w:rPr>
        <w:t>where the sale or </w:t>
      </w:r>
      <w:r>
        <w:rPr>
          <w:spacing w:val="-3"/>
          <w:w w:val="105"/>
          <w:sz w:val="22"/>
        </w:rPr>
        <w:t>transfer </w:t>
      </w:r>
      <w:r>
        <w:rPr>
          <w:w w:val="105"/>
          <w:sz w:val="22"/>
        </w:rPr>
        <w:t>is to the spouse or child of a Co-owner, or family trust or company </w:t>
      </w:r>
      <w:r>
        <w:rPr>
          <w:spacing w:val="-5"/>
          <w:w w:val="105"/>
          <w:sz w:val="22"/>
        </w:rPr>
        <w:t>controlled </w:t>
      </w:r>
      <w:r>
        <w:rPr>
          <w:w w:val="105"/>
          <w:sz w:val="22"/>
        </w:rPr>
        <w:t>by the Co-owner, spouse or child;</w:t>
      </w:r>
      <w:r>
        <w:rPr>
          <w:spacing w:val="-4"/>
          <w:w w:val="105"/>
          <w:sz w:val="22"/>
        </w:rPr>
        <w:t> </w:t>
      </w:r>
      <w:r>
        <w:rPr>
          <w:w w:val="105"/>
          <w:sz w:val="22"/>
        </w:rPr>
        <w:t>or</w:t>
      </w:r>
    </w:p>
    <w:p>
      <w:pPr>
        <w:pStyle w:val="BodyText"/>
        <w:spacing w:before="11"/>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where</w:t>
      </w:r>
      <w:r>
        <w:rPr>
          <w:spacing w:val="-6"/>
          <w:w w:val="105"/>
          <w:sz w:val="22"/>
        </w:rPr>
        <w:t> </w:t>
      </w:r>
      <w:r>
        <w:rPr>
          <w:w w:val="105"/>
          <w:sz w:val="22"/>
        </w:rPr>
        <w:t>the</w:t>
      </w:r>
      <w:r>
        <w:rPr>
          <w:spacing w:val="-14"/>
          <w:w w:val="105"/>
          <w:sz w:val="22"/>
        </w:rPr>
        <w:t> </w:t>
      </w:r>
      <w:r>
        <w:rPr>
          <w:w w:val="105"/>
          <w:sz w:val="22"/>
        </w:rPr>
        <w:t>sale</w:t>
      </w:r>
      <w:r>
        <w:rPr>
          <w:spacing w:val="-6"/>
          <w:w w:val="105"/>
          <w:sz w:val="22"/>
        </w:rPr>
        <w:t> </w:t>
      </w:r>
      <w:r>
        <w:rPr>
          <w:w w:val="105"/>
          <w:sz w:val="22"/>
        </w:rPr>
        <w:t>or</w:t>
      </w:r>
      <w:r>
        <w:rPr>
          <w:spacing w:val="-13"/>
          <w:w w:val="105"/>
          <w:sz w:val="22"/>
        </w:rPr>
        <w:t> </w:t>
      </w:r>
      <w:r>
        <w:rPr>
          <w:w w:val="105"/>
          <w:sz w:val="22"/>
        </w:rPr>
        <w:t>transfer</w:t>
      </w:r>
      <w:r>
        <w:rPr>
          <w:spacing w:val="-10"/>
          <w:w w:val="105"/>
          <w:sz w:val="22"/>
        </w:rPr>
        <w:t> </w:t>
      </w:r>
      <w:r>
        <w:rPr>
          <w:w w:val="105"/>
          <w:sz w:val="22"/>
        </w:rPr>
        <w:t>is</w:t>
      </w:r>
      <w:r>
        <w:rPr>
          <w:spacing w:val="-9"/>
          <w:w w:val="105"/>
          <w:sz w:val="22"/>
        </w:rPr>
        <w:t> </w:t>
      </w:r>
      <w:r>
        <w:rPr>
          <w:w w:val="105"/>
          <w:sz w:val="22"/>
        </w:rPr>
        <w:t>done</w:t>
      </w:r>
      <w:r>
        <w:rPr>
          <w:spacing w:val="-6"/>
          <w:w w:val="105"/>
          <w:sz w:val="22"/>
        </w:rPr>
        <w:t> </w:t>
      </w:r>
      <w:r>
        <w:rPr>
          <w:w w:val="105"/>
          <w:sz w:val="22"/>
        </w:rPr>
        <w:t>in</w:t>
      </w:r>
      <w:r>
        <w:rPr>
          <w:spacing w:val="-7"/>
          <w:w w:val="105"/>
          <w:sz w:val="22"/>
        </w:rPr>
        <w:t> </w:t>
      </w:r>
      <w:r>
        <w:rPr>
          <w:w w:val="105"/>
          <w:sz w:val="22"/>
        </w:rPr>
        <w:t>accordance</w:t>
      </w:r>
      <w:r>
        <w:rPr>
          <w:spacing w:val="-7"/>
          <w:w w:val="105"/>
          <w:sz w:val="22"/>
        </w:rPr>
        <w:t> </w:t>
      </w:r>
      <w:r>
        <w:rPr>
          <w:w w:val="105"/>
          <w:sz w:val="22"/>
        </w:rPr>
        <w:t>with</w:t>
      </w:r>
      <w:r>
        <w:rPr>
          <w:spacing w:val="-14"/>
          <w:w w:val="105"/>
          <w:sz w:val="22"/>
        </w:rPr>
        <w:t> </w:t>
      </w:r>
      <w:r>
        <w:rPr>
          <w:w w:val="105"/>
          <w:sz w:val="22"/>
        </w:rPr>
        <w:t>clause</w:t>
      </w:r>
      <w:r>
        <w:rPr>
          <w:spacing w:val="-8"/>
          <w:w w:val="105"/>
          <w:sz w:val="22"/>
        </w:rPr>
        <w:t> </w:t>
      </w:r>
      <w:r>
        <w:rPr>
          <w:spacing w:val="-6"/>
          <w:w w:val="105"/>
          <w:sz w:val="22"/>
        </w:rPr>
        <w:t>4.3.</w:t>
      </w:r>
    </w:p>
    <w:p>
      <w:pPr>
        <w:pStyle w:val="BodyText"/>
        <w:spacing w:before="9"/>
        <w:rPr>
          <w:sz w:val="21"/>
        </w:rPr>
      </w:pPr>
    </w:p>
    <w:p>
      <w:pPr>
        <w:pStyle w:val="ListParagraph"/>
        <w:numPr>
          <w:ilvl w:val="1"/>
          <w:numId w:val="1"/>
        </w:numPr>
        <w:tabs>
          <w:tab w:pos="887" w:val="left" w:leader="none"/>
        </w:tabs>
        <w:spacing w:line="240" w:lineRule="auto" w:before="1" w:after="0"/>
        <w:ind w:left="886" w:right="226" w:hanging="567"/>
        <w:jc w:val="both"/>
        <w:rPr>
          <w:sz w:val="22"/>
        </w:rPr>
      </w:pPr>
      <w:r>
        <w:rPr>
          <w:w w:val="105"/>
          <w:sz w:val="22"/>
        </w:rPr>
        <w:t>Other than where the Co-owners have consented to the sale of the whole of the Horse pursuant to clause 3.6(f), if a Co-owner (</w:t>
      </w:r>
      <w:r>
        <w:rPr>
          <w:b/>
          <w:w w:val="105"/>
          <w:sz w:val="22"/>
        </w:rPr>
        <w:t>the Prospective Vendor</w:t>
      </w:r>
      <w:r>
        <w:rPr>
          <w:w w:val="105"/>
          <w:sz w:val="22"/>
        </w:rPr>
        <w:t>) wishes to sell or transfer that person’s Owner’s interest (or part of it) in the Horse to any person without Majority Consent or other than in accordance with clauses 4.2(a) to 4.2(c), then that person may only sell or transfer that interest in the Horse if the process set out below is followed:</w:t>
      </w:r>
    </w:p>
    <w:p>
      <w:pPr>
        <w:pStyle w:val="BodyText"/>
      </w:pPr>
    </w:p>
    <w:p>
      <w:pPr>
        <w:pStyle w:val="ListParagraph"/>
        <w:numPr>
          <w:ilvl w:val="2"/>
          <w:numId w:val="1"/>
        </w:numPr>
        <w:tabs>
          <w:tab w:pos="1453" w:val="left" w:leader="none"/>
        </w:tabs>
        <w:spacing w:line="240" w:lineRule="auto" w:before="0" w:after="0"/>
        <w:ind w:left="1452" w:right="225" w:hanging="566"/>
        <w:jc w:val="both"/>
        <w:rPr>
          <w:sz w:val="22"/>
        </w:rPr>
      </w:pPr>
      <w:r>
        <w:rPr>
          <w:w w:val="105"/>
          <w:sz w:val="22"/>
        </w:rPr>
        <w:t>the Prospective Vendor shall give notice in writing to the Managing Owner that</w:t>
      </w:r>
      <w:r>
        <w:rPr>
          <w:spacing w:val="63"/>
          <w:w w:val="105"/>
          <w:sz w:val="22"/>
        </w:rPr>
        <w:t> </w:t>
      </w:r>
      <w:r>
        <w:rPr>
          <w:w w:val="105"/>
          <w:sz w:val="22"/>
        </w:rPr>
        <w:t>the Prospective Vendor intends to sell or transfer that person’s Owner’s interest (or part of it) in the Horse at the price and on the terms specified </w:t>
      </w:r>
      <w:r>
        <w:rPr>
          <w:spacing w:val="-3"/>
          <w:w w:val="105"/>
          <w:sz w:val="22"/>
        </w:rPr>
        <w:t>in </w:t>
      </w:r>
      <w:r>
        <w:rPr>
          <w:w w:val="105"/>
          <w:sz w:val="22"/>
        </w:rPr>
        <w:t>the notice (</w:t>
      </w:r>
      <w:r>
        <w:rPr>
          <w:b/>
          <w:w w:val="105"/>
          <w:sz w:val="22"/>
        </w:rPr>
        <w:t>Transfer</w:t>
      </w:r>
      <w:r>
        <w:rPr>
          <w:b/>
          <w:spacing w:val="-9"/>
          <w:w w:val="105"/>
          <w:sz w:val="22"/>
        </w:rPr>
        <w:t> </w:t>
      </w:r>
      <w:r>
        <w:rPr>
          <w:b/>
          <w:w w:val="105"/>
          <w:sz w:val="22"/>
        </w:rPr>
        <w:t>Notice</w:t>
      </w:r>
      <w:r>
        <w:rPr>
          <w:w w:val="105"/>
          <w:sz w:val="22"/>
        </w:rPr>
        <w:t>);</w:t>
      </w:r>
    </w:p>
    <w:p>
      <w:pPr>
        <w:pStyle w:val="BodyText"/>
        <w:spacing w:before="2"/>
      </w:pPr>
    </w:p>
    <w:p>
      <w:pPr>
        <w:pStyle w:val="ListParagraph"/>
        <w:numPr>
          <w:ilvl w:val="2"/>
          <w:numId w:val="1"/>
        </w:numPr>
        <w:tabs>
          <w:tab w:pos="1453" w:val="left" w:leader="none"/>
        </w:tabs>
        <w:spacing w:line="240" w:lineRule="auto" w:before="1" w:after="0"/>
        <w:ind w:left="1452" w:right="228" w:hanging="566"/>
        <w:jc w:val="both"/>
        <w:rPr>
          <w:sz w:val="22"/>
        </w:rPr>
      </w:pPr>
      <w:r>
        <w:rPr>
          <w:w w:val="105"/>
          <w:sz w:val="22"/>
        </w:rPr>
        <w:t>on receipt of the Transfer Notice, the Managing Owner will forthwith offer the Prospective Vendor’s interest in the Horse specified in the Transfer Notice for sale at the price and on the terms specified in the Transfer Notice to the other Co-owners, allowing each of them 14 days within which to notify the Managing</w:t>
      </w:r>
      <w:r>
        <w:rPr>
          <w:spacing w:val="63"/>
          <w:w w:val="105"/>
          <w:sz w:val="22"/>
        </w:rPr>
        <w:t> </w:t>
      </w:r>
      <w:r>
        <w:rPr>
          <w:w w:val="105"/>
          <w:sz w:val="22"/>
        </w:rPr>
        <w:t>Owner in writing of whether they wish to purchase all or some of the Prospective Vendor’s Owner’s interest in the Horse offered in the Transfer</w:t>
      </w:r>
      <w:r>
        <w:rPr>
          <w:spacing w:val="-42"/>
          <w:w w:val="105"/>
          <w:sz w:val="22"/>
        </w:rPr>
        <w:t> </w:t>
      </w:r>
      <w:r>
        <w:rPr>
          <w:w w:val="105"/>
          <w:sz w:val="22"/>
        </w:rPr>
        <w:t>Notice;</w:t>
      </w:r>
    </w:p>
    <w:p>
      <w:pPr>
        <w:pStyle w:val="BodyText"/>
      </w:pPr>
    </w:p>
    <w:p>
      <w:pPr>
        <w:pStyle w:val="ListParagraph"/>
        <w:numPr>
          <w:ilvl w:val="2"/>
          <w:numId w:val="1"/>
        </w:numPr>
        <w:tabs>
          <w:tab w:pos="1453" w:val="left" w:leader="none"/>
        </w:tabs>
        <w:spacing w:line="240" w:lineRule="auto" w:before="0" w:after="0"/>
        <w:ind w:left="1452" w:right="224" w:hanging="566"/>
        <w:jc w:val="both"/>
        <w:rPr>
          <w:sz w:val="22"/>
        </w:rPr>
      </w:pPr>
      <w:r>
        <w:rPr>
          <w:w w:val="105"/>
          <w:sz w:val="22"/>
        </w:rPr>
        <w:t>if more than one of the other Co-owners wishes to purchase the Prospective Vendor’s Owner’s interest in the Horse offered in the Transfer Notice as specified in the Transfer Notice, and unless otherwise agreed by all of those Co-owners, each of them is entitled to a pro rata share in the Prospective Vendor’s interest in the Horse in proportion to the interest in the Horse held by each Co-owner immediately prior to notice of the intended sale or transfer being given (and </w:t>
      </w:r>
      <w:r>
        <w:rPr>
          <w:spacing w:val="5"/>
          <w:w w:val="105"/>
          <w:sz w:val="22"/>
        </w:rPr>
        <w:t>each </w:t>
      </w:r>
      <w:r>
        <w:rPr>
          <w:w w:val="105"/>
          <w:sz w:val="22"/>
        </w:rPr>
        <w:t>must pay a contribution towards the purchase of the Prospective Vendor’s interest on a pro rata basis commensurate with the relevant Owner’s interest in the Horse immediately prior to that notice being</w:t>
      </w:r>
      <w:r>
        <w:rPr>
          <w:spacing w:val="-17"/>
          <w:w w:val="105"/>
          <w:sz w:val="22"/>
        </w:rPr>
        <w:t> </w:t>
      </w:r>
      <w:r>
        <w:rPr>
          <w:w w:val="105"/>
          <w:sz w:val="22"/>
        </w:rPr>
        <w:t>given);</w:t>
      </w:r>
    </w:p>
    <w:p>
      <w:pPr>
        <w:pStyle w:val="BodyText"/>
        <w:spacing w:before="7"/>
        <w:rPr>
          <w:sz w:val="21"/>
        </w:rPr>
      </w:pPr>
    </w:p>
    <w:p>
      <w:pPr>
        <w:pStyle w:val="ListParagraph"/>
        <w:numPr>
          <w:ilvl w:val="2"/>
          <w:numId w:val="1"/>
        </w:numPr>
        <w:tabs>
          <w:tab w:pos="1453" w:val="left" w:leader="none"/>
        </w:tabs>
        <w:spacing w:line="240" w:lineRule="auto" w:before="0" w:after="0"/>
        <w:ind w:left="1452" w:right="224" w:hanging="566"/>
        <w:jc w:val="both"/>
        <w:rPr>
          <w:sz w:val="22"/>
        </w:rPr>
      </w:pPr>
      <w:r>
        <w:rPr>
          <w:w w:val="105"/>
          <w:sz w:val="22"/>
        </w:rPr>
        <w:t>if no purchase of a Prospective Vendor’s Owner’s interest is made by a Co- owner in accordance with sub-clauses 4.3(a) to 4.3(c) above, the Prospective Vendor may then sell or transfer that person’s Owner’s interest to any other person at a price which is not lower and on terms which are not more favourable to the prospective buyer than those set out in the Transfer</w:t>
      </w:r>
      <w:r>
        <w:rPr>
          <w:spacing w:val="-39"/>
          <w:w w:val="105"/>
          <w:sz w:val="22"/>
        </w:rPr>
        <w:t> </w:t>
      </w:r>
      <w:r>
        <w:rPr>
          <w:w w:val="105"/>
          <w:sz w:val="22"/>
        </w:rPr>
        <w:t>Notice;</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if</w:t>
      </w:r>
      <w:r>
        <w:rPr>
          <w:spacing w:val="10"/>
          <w:w w:val="105"/>
          <w:sz w:val="22"/>
        </w:rPr>
        <w:t> </w:t>
      </w:r>
      <w:r>
        <w:rPr>
          <w:w w:val="105"/>
          <w:sz w:val="22"/>
        </w:rPr>
        <w:t>the</w:t>
      </w:r>
      <w:r>
        <w:rPr>
          <w:spacing w:val="7"/>
          <w:w w:val="105"/>
          <w:sz w:val="22"/>
        </w:rPr>
        <w:t> </w:t>
      </w:r>
      <w:r>
        <w:rPr>
          <w:w w:val="105"/>
          <w:sz w:val="22"/>
        </w:rPr>
        <w:t>Prospective</w:t>
      </w:r>
      <w:r>
        <w:rPr>
          <w:spacing w:val="7"/>
          <w:w w:val="105"/>
          <w:sz w:val="22"/>
        </w:rPr>
        <w:t> </w:t>
      </w:r>
      <w:r>
        <w:rPr>
          <w:w w:val="105"/>
          <w:sz w:val="22"/>
        </w:rPr>
        <w:t>Vendor</w:t>
      </w:r>
      <w:r>
        <w:rPr>
          <w:spacing w:val="10"/>
          <w:w w:val="105"/>
          <w:sz w:val="22"/>
        </w:rPr>
        <w:t> </w:t>
      </w:r>
      <w:r>
        <w:rPr>
          <w:w w:val="105"/>
          <w:sz w:val="22"/>
        </w:rPr>
        <w:t>is</w:t>
      </w:r>
      <w:r>
        <w:rPr>
          <w:spacing w:val="8"/>
          <w:w w:val="105"/>
          <w:sz w:val="22"/>
        </w:rPr>
        <w:t> </w:t>
      </w:r>
      <w:r>
        <w:rPr>
          <w:w w:val="105"/>
          <w:sz w:val="22"/>
        </w:rPr>
        <w:t>unable</w:t>
      </w:r>
      <w:r>
        <w:rPr>
          <w:spacing w:val="7"/>
          <w:w w:val="105"/>
          <w:sz w:val="22"/>
        </w:rPr>
        <w:t> </w:t>
      </w:r>
      <w:r>
        <w:rPr>
          <w:w w:val="105"/>
          <w:sz w:val="22"/>
        </w:rPr>
        <w:t>to</w:t>
      </w:r>
      <w:r>
        <w:rPr>
          <w:spacing w:val="8"/>
          <w:w w:val="105"/>
          <w:sz w:val="22"/>
        </w:rPr>
        <w:t> </w:t>
      </w:r>
      <w:r>
        <w:rPr>
          <w:w w:val="105"/>
          <w:sz w:val="22"/>
        </w:rPr>
        <w:t>find</w:t>
      </w:r>
      <w:r>
        <w:rPr>
          <w:spacing w:val="7"/>
          <w:w w:val="105"/>
          <w:sz w:val="22"/>
        </w:rPr>
        <w:t> </w:t>
      </w:r>
      <w:r>
        <w:rPr>
          <w:w w:val="105"/>
          <w:sz w:val="22"/>
        </w:rPr>
        <w:t>a</w:t>
      </w:r>
      <w:r>
        <w:rPr>
          <w:spacing w:val="7"/>
          <w:w w:val="105"/>
          <w:sz w:val="22"/>
        </w:rPr>
        <w:t> </w:t>
      </w:r>
      <w:r>
        <w:rPr>
          <w:w w:val="105"/>
          <w:sz w:val="22"/>
        </w:rPr>
        <w:t>buyer</w:t>
      </w:r>
      <w:r>
        <w:rPr>
          <w:spacing w:val="10"/>
          <w:w w:val="105"/>
          <w:sz w:val="22"/>
        </w:rPr>
        <w:t> </w:t>
      </w:r>
      <w:r>
        <w:rPr>
          <w:w w:val="105"/>
          <w:sz w:val="22"/>
        </w:rPr>
        <w:t>pursuant</w:t>
      </w:r>
      <w:r>
        <w:rPr>
          <w:spacing w:val="7"/>
          <w:w w:val="105"/>
          <w:sz w:val="22"/>
        </w:rPr>
        <w:t> </w:t>
      </w:r>
      <w:r>
        <w:rPr>
          <w:w w:val="105"/>
          <w:sz w:val="22"/>
        </w:rPr>
        <w:t>to</w:t>
      </w:r>
      <w:r>
        <w:rPr>
          <w:spacing w:val="6"/>
          <w:w w:val="105"/>
          <w:sz w:val="22"/>
        </w:rPr>
        <w:t> </w:t>
      </w:r>
      <w:r>
        <w:rPr>
          <w:w w:val="105"/>
          <w:sz w:val="22"/>
        </w:rPr>
        <w:t>clause</w:t>
      </w:r>
      <w:r>
        <w:rPr>
          <w:spacing w:val="7"/>
          <w:w w:val="105"/>
          <w:sz w:val="22"/>
        </w:rPr>
        <w:t> </w:t>
      </w:r>
      <w:r>
        <w:rPr>
          <w:w w:val="105"/>
          <w:sz w:val="22"/>
        </w:rPr>
        <w:t>4.3(d)</w:t>
      </w:r>
      <w:r>
        <w:rPr>
          <w:spacing w:val="6"/>
          <w:w w:val="105"/>
          <w:sz w:val="22"/>
        </w:rPr>
        <w:t> </w:t>
      </w:r>
      <w:r>
        <w:rPr>
          <w:w w:val="105"/>
          <w:sz w:val="22"/>
        </w:rPr>
        <w:t>and</w:t>
      </w:r>
    </w:p>
    <w:p>
      <w:pPr>
        <w:spacing w:after="0" w:line="240" w:lineRule="auto"/>
        <w:jc w:val="left"/>
        <w:rPr>
          <w:sz w:val="22"/>
        </w:rPr>
        <w:sectPr>
          <w:pgSz w:w="11900" w:h="16860"/>
          <w:pgMar w:header="0" w:footer="761" w:top="1060" w:bottom="960" w:left="900" w:right="980"/>
        </w:sectPr>
      </w:pPr>
    </w:p>
    <w:p>
      <w:pPr>
        <w:pStyle w:val="BodyText"/>
        <w:spacing w:before="69"/>
        <w:ind w:left="1452" w:right="232"/>
        <w:jc w:val="both"/>
      </w:pPr>
      <w:r>
        <w:rPr>
          <w:w w:val="105"/>
        </w:rPr>
        <w:t>wishes to sell his or her Owner’s interest at a price which is lower or on terms which are more favourable to a prospective buyer than those set out in the  Transfer Notice, he or she must issue a new Transfer Notice setting out the  revised price and terms and again follow the sale procedures set out in this clause</w:t>
      </w:r>
      <w:r>
        <w:rPr>
          <w:spacing w:val="-5"/>
          <w:w w:val="105"/>
        </w:rPr>
        <w:t> </w:t>
      </w:r>
      <w:r>
        <w:rPr>
          <w:w w:val="105"/>
        </w:rPr>
        <w:t>4.3.</w:t>
      </w:r>
    </w:p>
    <w:p>
      <w:pPr>
        <w:pStyle w:val="BodyText"/>
        <w:spacing w:before="4"/>
        <w:rPr>
          <w:sz w:val="21"/>
        </w:rPr>
      </w:pPr>
    </w:p>
    <w:p>
      <w:pPr>
        <w:pStyle w:val="ListParagraph"/>
        <w:numPr>
          <w:ilvl w:val="1"/>
          <w:numId w:val="1"/>
        </w:numPr>
        <w:tabs>
          <w:tab w:pos="887" w:val="left" w:leader="none"/>
        </w:tabs>
        <w:spacing w:line="240" w:lineRule="auto" w:before="0" w:after="0"/>
        <w:ind w:left="886" w:right="233" w:hanging="567"/>
        <w:jc w:val="both"/>
        <w:rPr>
          <w:sz w:val="22"/>
        </w:rPr>
      </w:pPr>
      <w:r>
        <w:rPr>
          <w:sz w:val="22"/>
        </w:rPr>
        <w:t>Subject to clause 4.5, the Managing Owner can sell the Owner’s interest of any Co-owner (</w:t>
      </w:r>
      <w:r>
        <w:rPr>
          <w:b/>
          <w:sz w:val="22"/>
        </w:rPr>
        <w:t>the Defaulting Owner</w:t>
      </w:r>
      <w:r>
        <w:rPr>
          <w:sz w:val="22"/>
        </w:rPr>
        <w:t>) in any of the following</w:t>
      </w:r>
      <w:r>
        <w:rPr>
          <w:spacing w:val="-36"/>
          <w:sz w:val="22"/>
        </w:rPr>
        <w:t> </w:t>
      </w:r>
      <w:r>
        <w:rPr>
          <w:sz w:val="22"/>
        </w:rPr>
        <w:t>circumstances:</w:t>
      </w:r>
    </w:p>
    <w:p>
      <w:pPr>
        <w:pStyle w:val="BodyText"/>
        <w:spacing w:before="2"/>
      </w:pPr>
    </w:p>
    <w:p>
      <w:pPr>
        <w:pStyle w:val="ListParagraph"/>
        <w:numPr>
          <w:ilvl w:val="2"/>
          <w:numId w:val="1"/>
        </w:numPr>
        <w:tabs>
          <w:tab w:pos="1453" w:val="left" w:leader="none"/>
        </w:tabs>
        <w:spacing w:line="240" w:lineRule="auto" w:before="0" w:after="0"/>
        <w:ind w:left="1452" w:right="240" w:hanging="566"/>
        <w:jc w:val="both"/>
        <w:rPr>
          <w:sz w:val="22"/>
        </w:rPr>
      </w:pPr>
      <w:r>
        <w:rPr>
          <w:sz w:val="22"/>
        </w:rPr>
        <w:t>if a Co-owner becomes ineligible to own a racehorse under the Rules of Racing (including on account of any valid decision taken pursuant to those</w:t>
      </w:r>
      <w:r>
        <w:rPr>
          <w:spacing w:val="-28"/>
          <w:sz w:val="22"/>
        </w:rPr>
        <w:t> </w:t>
      </w:r>
      <w:r>
        <w:rPr>
          <w:sz w:val="22"/>
        </w:rPr>
        <w:t>rules);</w:t>
      </w:r>
    </w:p>
    <w:p>
      <w:pPr>
        <w:pStyle w:val="BodyText"/>
        <w:spacing w:before="11"/>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sz w:val="22"/>
        </w:rPr>
        <w:t>if a Co-owner is declared to be bankrupt or placed into administration or</w:t>
      </w:r>
      <w:r>
        <w:rPr>
          <w:spacing w:val="-40"/>
          <w:sz w:val="22"/>
        </w:rPr>
        <w:t> </w:t>
      </w:r>
      <w:r>
        <w:rPr>
          <w:sz w:val="22"/>
        </w:rPr>
        <w:t>liquidation;</w:t>
      </w:r>
    </w:p>
    <w:p>
      <w:pPr>
        <w:pStyle w:val="BodyText"/>
      </w:pPr>
    </w:p>
    <w:p>
      <w:pPr>
        <w:pStyle w:val="ListParagraph"/>
        <w:numPr>
          <w:ilvl w:val="2"/>
          <w:numId w:val="1"/>
        </w:numPr>
        <w:tabs>
          <w:tab w:pos="1453" w:val="left" w:leader="none"/>
        </w:tabs>
        <w:spacing w:line="240" w:lineRule="auto" w:before="0" w:after="0"/>
        <w:ind w:left="1452" w:right="218" w:hanging="566"/>
        <w:jc w:val="both"/>
        <w:rPr>
          <w:sz w:val="22"/>
        </w:rPr>
      </w:pPr>
      <w:r>
        <w:rPr>
          <w:sz w:val="22"/>
        </w:rPr>
        <w:t>if a </w:t>
      </w:r>
      <w:r>
        <w:rPr>
          <w:spacing w:val="-4"/>
          <w:sz w:val="22"/>
        </w:rPr>
        <w:t>Co-owner </w:t>
      </w:r>
      <w:r>
        <w:rPr>
          <w:spacing w:val="-3"/>
          <w:sz w:val="22"/>
        </w:rPr>
        <w:t>fails </w:t>
      </w:r>
      <w:r>
        <w:rPr>
          <w:sz w:val="22"/>
        </w:rPr>
        <w:t>to make </w:t>
      </w:r>
      <w:r>
        <w:rPr>
          <w:spacing w:val="-4"/>
          <w:sz w:val="22"/>
        </w:rPr>
        <w:t>payments </w:t>
      </w:r>
      <w:r>
        <w:rPr>
          <w:sz w:val="22"/>
        </w:rPr>
        <w:t>in </w:t>
      </w:r>
      <w:r>
        <w:rPr>
          <w:spacing w:val="-4"/>
          <w:sz w:val="22"/>
        </w:rPr>
        <w:t>respect </w:t>
      </w:r>
      <w:r>
        <w:rPr>
          <w:sz w:val="22"/>
        </w:rPr>
        <w:t>of the </w:t>
      </w:r>
      <w:r>
        <w:rPr>
          <w:spacing w:val="-3"/>
          <w:sz w:val="22"/>
        </w:rPr>
        <w:t>Horse </w:t>
      </w:r>
      <w:r>
        <w:rPr>
          <w:spacing w:val="-4"/>
          <w:sz w:val="22"/>
        </w:rPr>
        <w:t>Ownership Venture </w:t>
      </w:r>
      <w:r>
        <w:rPr>
          <w:sz w:val="22"/>
        </w:rPr>
        <w:t>as  and </w:t>
      </w:r>
      <w:r>
        <w:rPr>
          <w:spacing w:val="-3"/>
          <w:sz w:val="22"/>
        </w:rPr>
        <w:t>when </w:t>
      </w:r>
      <w:r>
        <w:rPr>
          <w:sz w:val="22"/>
        </w:rPr>
        <w:t>they fall due and that has the effect of </w:t>
      </w:r>
      <w:r>
        <w:rPr>
          <w:spacing w:val="-4"/>
          <w:sz w:val="22"/>
        </w:rPr>
        <w:t>stopping </w:t>
      </w:r>
      <w:r>
        <w:rPr>
          <w:sz w:val="22"/>
        </w:rPr>
        <w:t>the </w:t>
      </w:r>
      <w:r>
        <w:rPr>
          <w:spacing w:val="-4"/>
          <w:sz w:val="22"/>
        </w:rPr>
        <w:t>Horse </w:t>
      </w:r>
      <w:r>
        <w:rPr>
          <w:sz w:val="22"/>
        </w:rPr>
        <w:t>being </w:t>
      </w:r>
      <w:r>
        <w:rPr>
          <w:spacing w:val="-4"/>
          <w:sz w:val="22"/>
        </w:rPr>
        <w:t>properly</w:t>
      </w:r>
      <w:r>
        <w:rPr>
          <w:spacing w:val="52"/>
          <w:sz w:val="22"/>
        </w:rPr>
        <w:t> </w:t>
      </w:r>
      <w:r>
        <w:rPr>
          <w:spacing w:val="-4"/>
          <w:sz w:val="22"/>
        </w:rPr>
        <w:t>maintained, trained, </w:t>
      </w:r>
      <w:r>
        <w:rPr>
          <w:sz w:val="22"/>
        </w:rPr>
        <w:t>able to race; </w:t>
      </w:r>
      <w:r>
        <w:rPr>
          <w:spacing w:val="-4"/>
          <w:sz w:val="22"/>
        </w:rPr>
        <w:t>and/or </w:t>
      </w:r>
      <w:r>
        <w:rPr>
          <w:spacing w:val="-3"/>
          <w:sz w:val="22"/>
        </w:rPr>
        <w:t>able </w:t>
      </w:r>
      <w:r>
        <w:rPr>
          <w:sz w:val="22"/>
        </w:rPr>
        <w:t>to be </w:t>
      </w:r>
      <w:r>
        <w:rPr>
          <w:spacing w:val="-4"/>
          <w:sz w:val="22"/>
        </w:rPr>
        <w:t>properly </w:t>
      </w:r>
      <w:r>
        <w:rPr>
          <w:sz w:val="22"/>
        </w:rPr>
        <w:t>and </w:t>
      </w:r>
      <w:r>
        <w:rPr>
          <w:spacing w:val="-4"/>
          <w:sz w:val="22"/>
        </w:rPr>
        <w:t>commercially </w:t>
      </w:r>
      <w:r>
        <w:rPr>
          <w:spacing w:val="-3"/>
          <w:sz w:val="22"/>
        </w:rPr>
        <w:t>used </w:t>
      </w:r>
      <w:r>
        <w:rPr>
          <w:sz w:val="22"/>
        </w:rPr>
        <w:t>for </w:t>
      </w:r>
      <w:r>
        <w:rPr>
          <w:spacing w:val="-4"/>
          <w:sz w:val="22"/>
        </w:rPr>
        <w:t>breeding;</w:t>
      </w:r>
      <w:r>
        <w:rPr>
          <w:spacing w:val="1"/>
          <w:sz w:val="22"/>
        </w:rPr>
        <w:t> </w:t>
      </w:r>
      <w:r>
        <w:rPr>
          <w:spacing w:val="-3"/>
          <w:sz w:val="22"/>
        </w:rPr>
        <w:t>or</w:t>
      </w:r>
    </w:p>
    <w:p>
      <w:pPr>
        <w:pStyle w:val="BodyText"/>
        <w:spacing w:before="1"/>
      </w:pPr>
    </w:p>
    <w:p>
      <w:pPr>
        <w:pStyle w:val="ListParagraph"/>
        <w:numPr>
          <w:ilvl w:val="2"/>
          <w:numId w:val="1"/>
        </w:numPr>
        <w:tabs>
          <w:tab w:pos="1453" w:val="left" w:leader="none"/>
        </w:tabs>
        <w:spacing w:line="240" w:lineRule="auto" w:before="0" w:after="0"/>
        <w:ind w:left="1452" w:right="227" w:hanging="566"/>
        <w:jc w:val="both"/>
        <w:rPr>
          <w:sz w:val="22"/>
        </w:rPr>
      </w:pPr>
      <w:r>
        <w:rPr>
          <w:spacing w:val="-3"/>
          <w:sz w:val="22"/>
        </w:rPr>
        <w:t>serious </w:t>
      </w:r>
      <w:r>
        <w:rPr>
          <w:sz w:val="22"/>
        </w:rPr>
        <w:t>or </w:t>
      </w:r>
      <w:r>
        <w:rPr>
          <w:spacing w:val="-4"/>
          <w:sz w:val="22"/>
        </w:rPr>
        <w:t>persistent breaches </w:t>
      </w:r>
      <w:r>
        <w:rPr>
          <w:sz w:val="22"/>
        </w:rPr>
        <w:t>of </w:t>
      </w:r>
      <w:r>
        <w:rPr>
          <w:spacing w:val="-3"/>
          <w:sz w:val="22"/>
        </w:rPr>
        <w:t>this </w:t>
      </w:r>
      <w:r>
        <w:rPr>
          <w:spacing w:val="-4"/>
          <w:sz w:val="22"/>
        </w:rPr>
        <w:t>Agreement which </w:t>
      </w:r>
      <w:r>
        <w:rPr>
          <w:sz w:val="22"/>
        </w:rPr>
        <w:t>are </w:t>
      </w:r>
      <w:r>
        <w:rPr>
          <w:spacing w:val="-4"/>
          <w:sz w:val="22"/>
        </w:rPr>
        <w:t>reasonably considered </w:t>
      </w:r>
      <w:r>
        <w:rPr>
          <w:sz w:val="22"/>
        </w:rPr>
        <w:t>to  be </w:t>
      </w:r>
      <w:r>
        <w:rPr>
          <w:spacing w:val="-4"/>
          <w:sz w:val="22"/>
        </w:rPr>
        <w:t>unacceptable </w:t>
      </w:r>
      <w:r>
        <w:rPr>
          <w:sz w:val="22"/>
        </w:rPr>
        <w:t>by the </w:t>
      </w:r>
      <w:r>
        <w:rPr>
          <w:spacing w:val="-4"/>
          <w:sz w:val="22"/>
        </w:rPr>
        <w:t>Managing </w:t>
      </w:r>
      <w:r>
        <w:rPr>
          <w:spacing w:val="-3"/>
          <w:sz w:val="22"/>
        </w:rPr>
        <w:t>Owner </w:t>
      </w:r>
      <w:r>
        <w:rPr>
          <w:sz w:val="22"/>
        </w:rPr>
        <w:t>and to </w:t>
      </w:r>
      <w:r>
        <w:rPr>
          <w:spacing w:val="-3"/>
          <w:sz w:val="22"/>
        </w:rPr>
        <w:t>justify </w:t>
      </w:r>
      <w:r>
        <w:rPr>
          <w:sz w:val="22"/>
        </w:rPr>
        <w:t>the</w:t>
      </w:r>
      <w:r>
        <w:rPr>
          <w:spacing w:val="-35"/>
          <w:sz w:val="22"/>
        </w:rPr>
        <w:t> </w:t>
      </w:r>
      <w:r>
        <w:rPr>
          <w:spacing w:val="-4"/>
          <w:sz w:val="22"/>
        </w:rPr>
        <w:t>sale.</w:t>
      </w:r>
    </w:p>
    <w:p>
      <w:pPr>
        <w:pStyle w:val="BodyText"/>
        <w:spacing w:before="11"/>
        <w:rPr>
          <w:sz w:val="21"/>
        </w:rPr>
      </w:pPr>
    </w:p>
    <w:p>
      <w:pPr>
        <w:pStyle w:val="ListParagraph"/>
        <w:numPr>
          <w:ilvl w:val="1"/>
          <w:numId w:val="1"/>
        </w:numPr>
        <w:tabs>
          <w:tab w:pos="887" w:val="left" w:leader="none"/>
        </w:tabs>
        <w:spacing w:line="240" w:lineRule="auto" w:before="0" w:after="0"/>
        <w:ind w:left="886" w:right="233" w:hanging="567"/>
        <w:jc w:val="both"/>
        <w:rPr>
          <w:sz w:val="22"/>
        </w:rPr>
      </w:pPr>
      <w:r>
        <w:rPr>
          <w:sz w:val="22"/>
        </w:rPr>
        <w:t>For a sale pursuant to clause 4.4 the Managing Owner can be compelled by Majority Consent, or if that is not provided, may in his or her discretion elect to sell a Defaulting Owner’s interest in the Horse (</w:t>
      </w:r>
      <w:r>
        <w:rPr>
          <w:b/>
          <w:sz w:val="22"/>
        </w:rPr>
        <w:t>the Default Share</w:t>
      </w:r>
      <w:r>
        <w:rPr>
          <w:sz w:val="22"/>
        </w:rPr>
        <w:t>) as</w:t>
      </w:r>
      <w:r>
        <w:rPr>
          <w:spacing w:val="-32"/>
          <w:sz w:val="22"/>
        </w:rPr>
        <w:t> </w:t>
      </w:r>
      <w:r>
        <w:rPr>
          <w:sz w:val="22"/>
        </w:rPr>
        <w:t>follows:</w:t>
      </w:r>
    </w:p>
    <w:p>
      <w:pPr>
        <w:pStyle w:val="BodyText"/>
        <w:spacing w:before="3"/>
      </w:pPr>
    </w:p>
    <w:p>
      <w:pPr>
        <w:pStyle w:val="ListParagraph"/>
        <w:numPr>
          <w:ilvl w:val="2"/>
          <w:numId w:val="1"/>
        </w:numPr>
        <w:tabs>
          <w:tab w:pos="1453" w:val="left" w:leader="none"/>
        </w:tabs>
        <w:spacing w:line="240" w:lineRule="auto" w:before="0" w:after="0"/>
        <w:ind w:left="1452" w:right="231" w:hanging="566"/>
        <w:jc w:val="both"/>
        <w:rPr>
          <w:sz w:val="22"/>
        </w:rPr>
      </w:pPr>
      <w:r>
        <w:rPr>
          <w:sz w:val="22"/>
        </w:rPr>
        <w:t>by public auction (with no reserve) to be conducted by either William Inglis &amp; Son Limited, or Magic Millions Sales Pty Ltd, or an online auction (such as bloodstockauction.com);</w:t>
      </w:r>
      <w:r>
        <w:rPr>
          <w:spacing w:val="-7"/>
          <w:sz w:val="22"/>
        </w:rPr>
        <w:t> </w:t>
      </w:r>
      <w:r>
        <w:rPr>
          <w:sz w:val="22"/>
        </w:rPr>
        <w:t>or</w:t>
      </w:r>
    </w:p>
    <w:p>
      <w:pPr>
        <w:pStyle w:val="BodyText"/>
        <w:spacing w:before="8"/>
        <w:rPr>
          <w:sz w:val="21"/>
        </w:rPr>
      </w:pPr>
    </w:p>
    <w:p>
      <w:pPr>
        <w:pStyle w:val="ListParagraph"/>
        <w:numPr>
          <w:ilvl w:val="2"/>
          <w:numId w:val="1"/>
        </w:numPr>
        <w:tabs>
          <w:tab w:pos="1453" w:val="left" w:leader="none"/>
        </w:tabs>
        <w:spacing w:line="240" w:lineRule="auto" w:before="0" w:after="0"/>
        <w:ind w:left="1452" w:right="229" w:hanging="566"/>
        <w:jc w:val="both"/>
        <w:rPr>
          <w:sz w:val="22"/>
        </w:rPr>
      </w:pPr>
      <w:r>
        <w:rPr>
          <w:sz w:val="22"/>
        </w:rPr>
        <w:t>by private treaty at a price (</w:t>
      </w:r>
      <w:r>
        <w:rPr>
          <w:b/>
          <w:sz w:val="22"/>
        </w:rPr>
        <w:t>the Valuation Price</w:t>
      </w:r>
      <w:r>
        <w:rPr>
          <w:sz w:val="22"/>
        </w:rPr>
        <w:t>) being the average of two valuations, at least one of which must be obtained from William Inglis &amp; Son Limited or Magic Millions Sales Pty Ltd (and where the second can also be obtained from a member of the Federation of Bloodstock Agents), or in the amount of one valuation by either William Inglis &amp; Son Limited or Magic Millions Sales Pty Ltd where that single initial valuation values the whole of the Horse at not more than $500,000 (including</w:t>
      </w:r>
      <w:r>
        <w:rPr>
          <w:spacing w:val="-45"/>
          <w:sz w:val="22"/>
        </w:rPr>
        <w:t> </w:t>
      </w:r>
      <w:r>
        <w:rPr>
          <w:sz w:val="22"/>
        </w:rPr>
        <w:t>GST).</w:t>
      </w:r>
    </w:p>
    <w:p>
      <w:pPr>
        <w:pStyle w:val="BodyText"/>
      </w:pPr>
    </w:p>
    <w:p>
      <w:pPr>
        <w:pStyle w:val="ListParagraph"/>
        <w:numPr>
          <w:ilvl w:val="1"/>
          <w:numId w:val="1"/>
        </w:numPr>
        <w:tabs>
          <w:tab w:pos="887" w:val="left" w:leader="none"/>
        </w:tabs>
        <w:spacing w:line="240" w:lineRule="auto" w:before="0" w:after="0"/>
        <w:ind w:left="886" w:right="222" w:hanging="567"/>
        <w:jc w:val="both"/>
        <w:rPr>
          <w:sz w:val="22"/>
        </w:rPr>
      </w:pPr>
      <w:r>
        <w:rPr>
          <w:sz w:val="22"/>
        </w:rPr>
        <w:t>If a </w:t>
      </w:r>
      <w:r>
        <w:rPr>
          <w:spacing w:val="-3"/>
          <w:sz w:val="22"/>
        </w:rPr>
        <w:t>sale </w:t>
      </w:r>
      <w:r>
        <w:rPr>
          <w:sz w:val="22"/>
        </w:rPr>
        <w:t>referred to in </w:t>
      </w:r>
      <w:r>
        <w:rPr>
          <w:spacing w:val="-3"/>
          <w:sz w:val="22"/>
        </w:rPr>
        <w:t>clause </w:t>
      </w:r>
      <w:r>
        <w:rPr>
          <w:sz w:val="22"/>
        </w:rPr>
        <w:t>4.5 </w:t>
      </w:r>
      <w:r>
        <w:rPr>
          <w:spacing w:val="-4"/>
          <w:sz w:val="22"/>
        </w:rPr>
        <w:t>proceeds </w:t>
      </w:r>
      <w:r>
        <w:rPr>
          <w:sz w:val="22"/>
        </w:rPr>
        <w:t>by </w:t>
      </w:r>
      <w:r>
        <w:rPr>
          <w:spacing w:val="-3"/>
          <w:sz w:val="22"/>
        </w:rPr>
        <w:t>auction, </w:t>
      </w:r>
      <w:r>
        <w:rPr>
          <w:sz w:val="22"/>
        </w:rPr>
        <w:t>then </w:t>
      </w:r>
      <w:r>
        <w:rPr>
          <w:spacing w:val="-3"/>
          <w:sz w:val="22"/>
        </w:rPr>
        <w:t>each </w:t>
      </w:r>
      <w:r>
        <w:rPr>
          <w:sz w:val="22"/>
        </w:rPr>
        <w:t>remaining </w:t>
      </w:r>
      <w:r>
        <w:rPr>
          <w:spacing w:val="-4"/>
          <w:sz w:val="22"/>
        </w:rPr>
        <w:t>Co-owner </w:t>
      </w:r>
      <w:r>
        <w:rPr>
          <w:sz w:val="22"/>
        </w:rPr>
        <w:t>must be </w:t>
      </w:r>
      <w:r>
        <w:rPr>
          <w:spacing w:val="-3"/>
          <w:sz w:val="22"/>
        </w:rPr>
        <w:t>given </w:t>
      </w:r>
      <w:r>
        <w:rPr>
          <w:sz w:val="22"/>
        </w:rPr>
        <w:t>at </w:t>
      </w:r>
      <w:r>
        <w:rPr>
          <w:spacing w:val="-3"/>
          <w:sz w:val="22"/>
        </w:rPr>
        <w:t>least </w:t>
      </w:r>
      <w:r>
        <w:rPr>
          <w:sz w:val="22"/>
        </w:rPr>
        <w:t>14 </w:t>
      </w:r>
      <w:r>
        <w:rPr>
          <w:spacing w:val="-4"/>
          <w:sz w:val="22"/>
        </w:rPr>
        <w:t>days’ </w:t>
      </w:r>
      <w:r>
        <w:rPr>
          <w:spacing w:val="-3"/>
          <w:sz w:val="22"/>
        </w:rPr>
        <w:t>notice </w:t>
      </w:r>
      <w:r>
        <w:rPr>
          <w:sz w:val="22"/>
        </w:rPr>
        <w:t>of the date and </w:t>
      </w:r>
      <w:r>
        <w:rPr>
          <w:spacing w:val="-4"/>
          <w:sz w:val="22"/>
        </w:rPr>
        <w:t>place </w:t>
      </w:r>
      <w:r>
        <w:rPr>
          <w:sz w:val="22"/>
        </w:rPr>
        <w:t>of any </w:t>
      </w:r>
      <w:r>
        <w:rPr>
          <w:spacing w:val="-4"/>
          <w:sz w:val="22"/>
        </w:rPr>
        <w:t>proposed auction </w:t>
      </w:r>
      <w:r>
        <w:rPr>
          <w:spacing w:val="-3"/>
          <w:sz w:val="22"/>
        </w:rPr>
        <w:t>sale </w:t>
      </w:r>
      <w:r>
        <w:rPr>
          <w:sz w:val="22"/>
        </w:rPr>
        <w:t>of the </w:t>
      </w:r>
      <w:r>
        <w:rPr>
          <w:spacing w:val="-4"/>
          <w:sz w:val="22"/>
        </w:rPr>
        <w:t>Default</w:t>
      </w:r>
      <w:r>
        <w:rPr>
          <w:spacing w:val="-8"/>
          <w:sz w:val="22"/>
        </w:rPr>
        <w:t> </w:t>
      </w:r>
      <w:r>
        <w:rPr>
          <w:spacing w:val="-3"/>
          <w:sz w:val="22"/>
        </w:rPr>
        <w:t>Share</w:t>
      </w:r>
      <w:r>
        <w:rPr>
          <w:spacing w:val="-9"/>
          <w:sz w:val="22"/>
        </w:rPr>
        <w:t> </w:t>
      </w:r>
      <w:r>
        <w:rPr>
          <w:sz w:val="22"/>
        </w:rPr>
        <w:t>and</w:t>
      </w:r>
      <w:r>
        <w:rPr>
          <w:spacing w:val="-6"/>
          <w:sz w:val="22"/>
        </w:rPr>
        <w:t> </w:t>
      </w:r>
      <w:r>
        <w:rPr>
          <w:spacing w:val="-3"/>
          <w:sz w:val="22"/>
        </w:rPr>
        <w:t>each</w:t>
      </w:r>
      <w:r>
        <w:rPr>
          <w:spacing w:val="-9"/>
          <w:sz w:val="22"/>
        </w:rPr>
        <w:t> </w:t>
      </w:r>
      <w:r>
        <w:rPr>
          <w:spacing w:val="-3"/>
          <w:sz w:val="22"/>
        </w:rPr>
        <w:t>shall</w:t>
      </w:r>
      <w:r>
        <w:rPr>
          <w:spacing w:val="-10"/>
          <w:sz w:val="22"/>
        </w:rPr>
        <w:t> </w:t>
      </w:r>
      <w:r>
        <w:rPr>
          <w:spacing w:val="-3"/>
          <w:sz w:val="22"/>
        </w:rPr>
        <w:t>have</w:t>
      </w:r>
      <w:r>
        <w:rPr>
          <w:spacing w:val="-9"/>
          <w:sz w:val="22"/>
        </w:rPr>
        <w:t> </w:t>
      </w:r>
      <w:r>
        <w:rPr>
          <w:sz w:val="22"/>
        </w:rPr>
        <w:t>the</w:t>
      </w:r>
      <w:r>
        <w:rPr>
          <w:spacing w:val="-7"/>
          <w:sz w:val="22"/>
        </w:rPr>
        <w:t> </w:t>
      </w:r>
      <w:r>
        <w:rPr>
          <w:sz w:val="22"/>
        </w:rPr>
        <w:t>right</w:t>
      </w:r>
      <w:r>
        <w:rPr>
          <w:spacing w:val="-4"/>
          <w:sz w:val="22"/>
        </w:rPr>
        <w:t> </w:t>
      </w:r>
      <w:r>
        <w:rPr>
          <w:sz w:val="22"/>
        </w:rPr>
        <w:t>to</w:t>
      </w:r>
      <w:r>
        <w:rPr>
          <w:spacing w:val="-7"/>
          <w:sz w:val="22"/>
        </w:rPr>
        <w:t> </w:t>
      </w:r>
      <w:r>
        <w:rPr>
          <w:spacing w:val="-3"/>
          <w:sz w:val="22"/>
        </w:rPr>
        <w:t>bid</w:t>
      </w:r>
      <w:r>
        <w:rPr>
          <w:spacing w:val="-12"/>
          <w:sz w:val="22"/>
        </w:rPr>
        <w:t> </w:t>
      </w:r>
      <w:r>
        <w:rPr>
          <w:sz w:val="22"/>
        </w:rPr>
        <w:t>as</w:t>
      </w:r>
      <w:r>
        <w:rPr>
          <w:spacing w:val="-4"/>
          <w:sz w:val="22"/>
        </w:rPr>
        <w:t> </w:t>
      </w:r>
      <w:r>
        <w:rPr>
          <w:sz w:val="22"/>
        </w:rPr>
        <w:t>he</w:t>
      </w:r>
      <w:r>
        <w:rPr>
          <w:spacing w:val="-4"/>
          <w:sz w:val="22"/>
        </w:rPr>
        <w:t> </w:t>
      </w:r>
      <w:r>
        <w:rPr>
          <w:sz w:val="22"/>
        </w:rPr>
        <w:t>or</w:t>
      </w:r>
      <w:r>
        <w:rPr>
          <w:spacing w:val="-3"/>
          <w:sz w:val="22"/>
        </w:rPr>
        <w:t> </w:t>
      </w:r>
      <w:r>
        <w:rPr>
          <w:sz w:val="22"/>
        </w:rPr>
        <w:t>she</w:t>
      </w:r>
      <w:r>
        <w:rPr>
          <w:spacing w:val="-7"/>
          <w:sz w:val="22"/>
        </w:rPr>
        <w:t> </w:t>
      </w:r>
      <w:r>
        <w:rPr>
          <w:spacing w:val="-3"/>
          <w:sz w:val="22"/>
        </w:rPr>
        <w:t>sees</w:t>
      </w:r>
      <w:r>
        <w:rPr>
          <w:spacing w:val="-13"/>
          <w:sz w:val="22"/>
        </w:rPr>
        <w:t> </w:t>
      </w:r>
      <w:r>
        <w:rPr>
          <w:sz w:val="22"/>
        </w:rPr>
        <w:t>fit.</w:t>
      </w:r>
    </w:p>
    <w:p>
      <w:pPr>
        <w:pStyle w:val="BodyText"/>
        <w:spacing w:before="10"/>
        <w:rPr>
          <w:sz w:val="21"/>
        </w:rPr>
      </w:pPr>
    </w:p>
    <w:p>
      <w:pPr>
        <w:pStyle w:val="ListParagraph"/>
        <w:numPr>
          <w:ilvl w:val="1"/>
          <w:numId w:val="1"/>
        </w:numPr>
        <w:tabs>
          <w:tab w:pos="887" w:val="left" w:leader="none"/>
        </w:tabs>
        <w:spacing w:line="240" w:lineRule="auto" w:before="0" w:after="0"/>
        <w:ind w:left="886" w:right="224" w:hanging="567"/>
        <w:jc w:val="both"/>
        <w:rPr>
          <w:sz w:val="22"/>
        </w:rPr>
      </w:pPr>
      <w:r>
        <w:rPr>
          <w:sz w:val="22"/>
        </w:rPr>
        <w:t>If a </w:t>
      </w:r>
      <w:r>
        <w:rPr>
          <w:spacing w:val="-3"/>
          <w:sz w:val="22"/>
        </w:rPr>
        <w:t>sale </w:t>
      </w:r>
      <w:r>
        <w:rPr>
          <w:sz w:val="22"/>
        </w:rPr>
        <w:t>referred to in clause 4.5 is to </w:t>
      </w:r>
      <w:r>
        <w:rPr>
          <w:spacing w:val="-4"/>
          <w:sz w:val="22"/>
        </w:rPr>
        <w:t>proceed </w:t>
      </w:r>
      <w:r>
        <w:rPr>
          <w:sz w:val="22"/>
        </w:rPr>
        <w:t>by way of </w:t>
      </w:r>
      <w:r>
        <w:rPr>
          <w:spacing w:val="-4"/>
          <w:sz w:val="22"/>
        </w:rPr>
        <w:t>private treaty, </w:t>
      </w:r>
      <w:r>
        <w:rPr>
          <w:sz w:val="22"/>
        </w:rPr>
        <w:t>then the </w:t>
      </w:r>
      <w:r>
        <w:rPr>
          <w:spacing w:val="-4"/>
          <w:sz w:val="22"/>
        </w:rPr>
        <w:t>following</w:t>
      </w:r>
      <w:r>
        <w:rPr>
          <w:spacing w:val="52"/>
          <w:sz w:val="22"/>
        </w:rPr>
        <w:t> </w:t>
      </w:r>
      <w:r>
        <w:rPr>
          <w:spacing w:val="-4"/>
          <w:sz w:val="22"/>
        </w:rPr>
        <w:t>procedure must </w:t>
      </w:r>
      <w:r>
        <w:rPr>
          <w:sz w:val="22"/>
        </w:rPr>
        <w:t>be</w:t>
      </w:r>
      <w:r>
        <w:rPr>
          <w:spacing w:val="3"/>
          <w:sz w:val="22"/>
        </w:rPr>
        <w:t> </w:t>
      </w:r>
      <w:r>
        <w:rPr>
          <w:spacing w:val="-4"/>
          <w:sz w:val="22"/>
        </w:rPr>
        <w:t>followed:</w:t>
      </w:r>
    </w:p>
    <w:p>
      <w:pPr>
        <w:pStyle w:val="BodyText"/>
        <w:spacing w:before="9"/>
        <w:rPr>
          <w:sz w:val="21"/>
        </w:rPr>
      </w:pPr>
    </w:p>
    <w:p>
      <w:pPr>
        <w:pStyle w:val="ListParagraph"/>
        <w:numPr>
          <w:ilvl w:val="2"/>
          <w:numId w:val="1"/>
        </w:numPr>
        <w:tabs>
          <w:tab w:pos="1453" w:val="left" w:leader="none"/>
        </w:tabs>
        <w:spacing w:line="240" w:lineRule="auto" w:before="0" w:after="0"/>
        <w:ind w:left="1452" w:right="221" w:hanging="566"/>
        <w:jc w:val="both"/>
        <w:rPr>
          <w:sz w:val="22"/>
        </w:rPr>
      </w:pPr>
      <w:r>
        <w:rPr>
          <w:spacing w:val="-3"/>
          <w:sz w:val="22"/>
        </w:rPr>
        <w:t>each </w:t>
      </w:r>
      <w:r>
        <w:rPr>
          <w:sz w:val="22"/>
        </w:rPr>
        <w:t>of the </w:t>
      </w:r>
      <w:r>
        <w:rPr>
          <w:spacing w:val="-4"/>
          <w:sz w:val="22"/>
        </w:rPr>
        <w:t>remaining Co-owners will </w:t>
      </w:r>
      <w:r>
        <w:rPr>
          <w:sz w:val="22"/>
        </w:rPr>
        <w:t>be </w:t>
      </w:r>
      <w:r>
        <w:rPr>
          <w:spacing w:val="-4"/>
          <w:sz w:val="22"/>
        </w:rPr>
        <w:t>notified </w:t>
      </w:r>
      <w:r>
        <w:rPr>
          <w:sz w:val="22"/>
        </w:rPr>
        <w:t>in </w:t>
      </w:r>
      <w:r>
        <w:rPr>
          <w:spacing w:val="-4"/>
          <w:sz w:val="22"/>
        </w:rPr>
        <w:t>writing </w:t>
      </w:r>
      <w:r>
        <w:rPr>
          <w:sz w:val="22"/>
        </w:rPr>
        <w:t>as </w:t>
      </w:r>
      <w:r>
        <w:rPr>
          <w:spacing w:val="-3"/>
          <w:sz w:val="22"/>
        </w:rPr>
        <w:t>soon </w:t>
      </w:r>
      <w:r>
        <w:rPr>
          <w:sz w:val="22"/>
        </w:rPr>
        <w:t>as </w:t>
      </w:r>
      <w:r>
        <w:rPr>
          <w:spacing w:val="-4"/>
          <w:sz w:val="22"/>
        </w:rPr>
        <w:t>possible </w:t>
      </w:r>
      <w:r>
        <w:rPr>
          <w:sz w:val="22"/>
        </w:rPr>
        <w:t>of the </w:t>
      </w:r>
      <w:r>
        <w:rPr>
          <w:spacing w:val="-4"/>
          <w:sz w:val="22"/>
        </w:rPr>
        <w:t>Valuation </w:t>
      </w:r>
      <w:r>
        <w:rPr>
          <w:spacing w:val="-3"/>
          <w:sz w:val="22"/>
        </w:rPr>
        <w:t>Price </w:t>
      </w:r>
      <w:r>
        <w:rPr>
          <w:sz w:val="22"/>
        </w:rPr>
        <w:t>and given 14 </w:t>
      </w:r>
      <w:r>
        <w:rPr>
          <w:spacing w:val="-3"/>
          <w:sz w:val="22"/>
        </w:rPr>
        <w:t>days </w:t>
      </w:r>
      <w:r>
        <w:rPr>
          <w:sz w:val="22"/>
        </w:rPr>
        <w:t>to inform the </w:t>
      </w:r>
      <w:r>
        <w:rPr>
          <w:spacing w:val="-4"/>
          <w:sz w:val="22"/>
        </w:rPr>
        <w:t>Managing Owner </w:t>
      </w:r>
      <w:r>
        <w:rPr>
          <w:sz w:val="22"/>
        </w:rPr>
        <w:t>in </w:t>
      </w:r>
      <w:r>
        <w:rPr>
          <w:spacing w:val="-4"/>
          <w:sz w:val="22"/>
        </w:rPr>
        <w:t>writing </w:t>
      </w:r>
      <w:r>
        <w:rPr>
          <w:spacing w:val="-3"/>
          <w:sz w:val="22"/>
        </w:rPr>
        <w:t>if </w:t>
      </w:r>
      <w:r>
        <w:rPr>
          <w:sz w:val="22"/>
        </w:rPr>
        <w:t>they </w:t>
      </w:r>
      <w:r>
        <w:rPr>
          <w:spacing w:val="-4"/>
          <w:sz w:val="22"/>
        </w:rPr>
        <w:t>wish </w:t>
      </w:r>
      <w:r>
        <w:rPr>
          <w:sz w:val="22"/>
        </w:rPr>
        <w:t>to </w:t>
      </w:r>
      <w:r>
        <w:rPr>
          <w:spacing w:val="-4"/>
          <w:sz w:val="22"/>
        </w:rPr>
        <w:t>purchase </w:t>
      </w:r>
      <w:r>
        <w:rPr>
          <w:sz w:val="22"/>
        </w:rPr>
        <w:t>all or part of the </w:t>
      </w:r>
      <w:r>
        <w:rPr>
          <w:spacing w:val="-4"/>
          <w:sz w:val="22"/>
        </w:rPr>
        <w:t>Default </w:t>
      </w:r>
      <w:r>
        <w:rPr>
          <w:spacing w:val="-3"/>
          <w:sz w:val="22"/>
        </w:rPr>
        <w:t>Share </w:t>
      </w:r>
      <w:r>
        <w:rPr>
          <w:sz w:val="22"/>
        </w:rPr>
        <w:t>at that </w:t>
      </w:r>
      <w:r>
        <w:rPr>
          <w:spacing w:val="-3"/>
          <w:sz w:val="22"/>
        </w:rPr>
        <w:t>price </w:t>
      </w:r>
      <w:r>
        <w:rPr>
          <w:sz w:val="22"/>
        </w:rPr>
        <w:t>and if so must pay the </w:t>
      </w:r>
      <w:r>
        <w:rPr>
          <w:spacing w:val="-4"/>
          <w:sz w:val="22"/>
        </w:rPr>
        <w:t>purchase </w:t>
      </w:r>
      <w:r>
        <w:rPr>
          <w:spacing w:val="-3"/>
          <w:sz w:val="22"/>
        </w:rPr>
        <w:t>price </w:t>
      </w:r>
      <w:r>
        <w:rPr>
          <w:sz w:val="22"/>
        </w:rPr>
        <w:t>for that </w:t>
      </w:r>
      <w:r>
        <w:rPr>
          <w:spacing w:val="-3"/>
          <w:sz w:val="22"/>
        </w:rPr>
        <w:t>share </w:t>
      </w:r>
      <w:r>
        <w:rPr>
          <w:sz w:val="22"/>
        </w:rPr>
        <w:t>to the </w:t>
      </w:r>
      <w:r>
        <w:rPr>
          <w:spacing w:val="-4"/>
          <w:sz w:val="22"/>
        </w:rPr>
        <w:t>Managing Owner </w:t>
      </w:r>
      <w:r>
        <w:rPr>
          <w:spacing w:val="-3"/>
          <w:sz w:val="22"/>
        </w:rPr>
        <w:t>(who </w:t>
      </w:r>
      <w:r>
        <w:rPr>
          <w:spacing w:val="-4"/>
          <w:sz w:val="22"/>
        </w:rPr>
        <w:t>will </w:t>
      </w:r>
      <w:r>
        <w:rPr>
          <w:spacing w:val="-3"/>
          <w:sz w:val="22"/>
        </w:rPr>
        <w:t>cause </w:t>
      </w:r>
      <w:r>
        <w:rPr>
          <w:sz w:val="22"/>
        </w:rPr>
        <w:t>it to be securely </w:t>
      </w:r>
      <w:r>
        <w:rPr>
          <w:spacing w:val="-3"/>
          <w:sz w:val="22"/>
        </w:rPr>
        <w:t>held </w:t>
      </w:r>
      <w:r>
        <w:rPr>
          <w:sz w:val="22"/>
        </w:rPr>
        <w:t>for the </w:t>
      </w:r>
      <w:r>
        <w:rPr>
          <w:spacing w:val="-4"/>
          <w:sz w:val="22"/>
        </w:rPr>
        <w:t>purpose </w:t>
      </w:r>
      <w:r>
        <w:rPr>
          <w:spacing w:val="-3"/>
          <w:sz w:val="22"/>
        </w:rPr>
        <w:t>of </w:t>
      </w:r>
      <w:r>
        <w:rPr>
          <w:spacing w:val="-4"/>
          <w:sz w:val="22"/>
        </w:rPr>
        <w:t>the purchase) within </w:t>
      </w:r>
      <w:r>
        <w:rPr>
          <w:sz w:val="22"/>
        </w:rPr>
        <w:t>7 days </w:t>
      </w:r>
      <w:r>
        <w:rPr>
          <w:spacing w:val="-3"/>
          <w:sz w:val="22"/>
        </w:rPr>
        <w:t>of </w:t>
      </w:r>
      <w:r>
        <w:rPr>
          <w:spacing w:val="-4"/>
          <w:sz w:val="22"/>
        </w:rPr>
        <w:t>receiving </w:t>
      </w:r>
      <w:r>
        <w:rPr>
          <w:sz w:val="22"/>
        </w:rPr>
        <w:t>a </w:t>
      </w:r>
      <w:r>
        <w:rPr>
          <w:spacing w:val="-4"/>
          <w:sz w:val="22"/>
        </w:rPr>
        <w:t>demand </w:t>
      </w:r>
      <w:r>
        <w:rPr>
          <w:sz w:val="22"/>
        </w:rPr>
        <w:t>for </w:t>
      </w:r>
      <w:r>
        <w:rPr>
          <w:spacing w:val="-4"/>
          <w:sz w:val="22"/>
        </w:rPr>
        <w:t>payment</w:t>
      </w:r>
      <w:r>
        <w:rPr>
          <w:spacing w:val="52"/>
          <w:sz w:val="22"/>
        </w:rPr>
        <w:t> </w:t>
      </w:r>
      <w:r>
        <w:rPr>
          <w:sz w:val="22"/>
        </w:rPr>
        <w:t>by the </w:t>
      </w:r>
      <w:r>
        <w:rPr>
          <w:spacing w:val="-4"/>
          <w:sz w:val="22"/>
        </w:rPr>
        <w:t>Managing Owner </w:t>
      </w:r>
      <w:r>
        <w:rPr>
          <w:sz w:val="22"/>
        </w:rPr>
        <w:t>in </w:t>
      </w:r>
      <w:r>
        <w:rPr>
          <w:spacing w:val="-3"/>
          <w:sz w:val="22"/>
        </w:rPr>
        <w:t>relation </w:t>
      </w:r>
      <w:r>
        <w:rPr>
          <w:sz w:val="22"/>
        </w:rPr>
        <w:t>to the sale of </w:t>
      </w:r>
      <w:r>
        <w:rPr>
          <w:spacing w:val="-3"/>
          <w:sz w:val="22"/>
        </w:rPr>
        <w:t>the </w:t>
      </w:r>
      <w:r>
        <w:rPr>
          <w:spacing w:val="-4"/>
          <w:sz w:val="22"/>
        </w:rPr>
        <w:t>Default Share </w:t>
      </w:r>
      <w:r>
        <w:rPr>
          <w:sz w:val="22"/>
        </w:rPr>
        <w:t>or relevant part of it to that </w:t>
      </w:r>
      <w:r>
        <w:rPr>
          <w:spacing w:val="-4"/>
          <w:sz w:val="22"/>
        </w:rPr>
        <w:t>relevant</w:t>
      </w:r>
      <w:r>
        <w:rPr>
          <w:spacing w:val="-9"/>
          <w:sz w:val="22"/>
        </w:rPr>
        <w:t> </w:t>
      </w:r>
      <w:r>
        <w:rPr>
          <w:spacing w:val="-4"/>
          <w:sz w:val="22"/>
        </w:rPr>
        <w:t>Co-owner;</w:t>
      </w:r>
    </w:p>
    <w:p>
      <w:pPr>
        <w:pStyle w:val="BodyText"/>
      </w:pPr>
    </w:p>
    <w:p>
      <w:pPr>
        <w:pStyle w:val="ListParagraph"/>
        <w:numPr>
          <w:ilvl w:val="2"/>
          <w:numId w:val="1"/>
        </w:numPr>
        <w:tabs>
          <w:tab w:pos="1453" w:val="left" w:leader="none"/>
        </w:tabs>
        <w:spacing w:line="240" w:lineRule="auto" w:before="0" w:after="0"/>
        <w:ind w:left="1452" w:right="231" w:hanging="566"/>
        <w:jc w:val="both"/>
        <w:rPr>
          <w:sz w:val="22"/>
        </w:rPr>
      </w:pPr>
      <w:r>
        <w:rPr>
          <w:w w:val="105"/>
          <w:sz w:val="22"/>
        </w:rPr>
        <w:t>if any of the other remaining Co-owners wish to purchase all or part of the Default Share based on the Valuation Price (</w:t>
      </w:r>
      <w:r>
        <w:rPr>
          <w:b/>
          <w:w w:val="105"/>
          <w:sz w:val="22"/>
        </w:rPr>
        <w:t>the Intending Purchasers</w:t>
      </w:r>
      <w:r>
        <w:rPr>
          <w:w w:val="105"/>
          <w:sz w:val="22"/>
        </w:rPr>
        <w:t>), then, unless</w:t>
      </w:r>
      <w:r>
        <w:rPr>
          <w:spacing w:val="63"/>
          <w:w w:val="105"/>
          <w:sz w:val="22"/>
        </w:rPr>
        <w:t> </w:t>
      </w:r>
      <w:r>
        <w:rPr>
          <w:w w:val="105"/>
          <w:sz w:val="22"/>
        </w:rPr>
        <w:t>otherwise agreed by all of those Intending Purchasers, each of them is entitled to purchase a pro rata share in the Default Share based on the Valuation Price in</w:t>
      </w:r>
      <w:r>
        <w:rPr>
          <w:spacing w:val="63"/>
          <w:w w:val="105"/>
          <w:sz w:val="22"/>
        </w:rPr>
        <w:t> </w:t>
      </w:r>
      <w:r>
        <w:rPr>
          <w:w w:val="105"/>
          <w:sz w:val="22"/>
        </w:rPr>
        <w:t>proportion to the interest in the Horse held by each of the Intending Purchasers immediately</w:t>
      </w:r>
      <w:r>
        <w:rPr>
          <w:spacing w:val="27"/>
          <w:w w:val="105"/>
          <w:sz w:val="22"/>
        </w:rPr>
        <w:t> </w:t>
      </w:r>
      <w:r>
        <w:rPr>
          <w:w w:val="105"/>
          <w:sz w:val="22"/>
        </w:rPr>
        <w:t>prior</w:t>
      </w:r>
      <w:r>
        <w:rPr>
          <w:spacing w:val="28"/>
          <w:w w:val="105"/>
          <w:sz w:val="22"/>
        </w:rPr>
        <w:t> </w:t>
      </w:r>
      <w:r>
        <w:rPr>
          <w:w w:val="105"/>
          <w:sz w:val="22"/>
        </w:rPr>
        <w:t>to</w:t>
      </w:r>
      <w:r>
        <w:rPr>
          <w:spacing w:val="27"/>
          <w:w w:val="105"/>
          <w:sz w:val="22"/>
        </w:rPr>
        <w:t> </w:t>
      </w:r>
      <w:r>
        <w:rPr>
          <w:w w:val="105"/>
          <w:sz w:val="22"/>
        </w:rPr>
        <w:t>notice</w:t>
      </w:r>
      <w:r>
        <w:rPr>
          <w:spacing w:val="31"/>
          <w:w w:val="105"/>
          <w:sz w:val="22"/>
        </w:rPr>
        <w:t> </w:t>
      </w:r>
      <w:r>
        <w:rPr>
          <w:w w:val="105"/>
          <w:sz w:val="22"/>
        </w:rPr>
        <w:t>of</w:t>
      </w:r>
      <w:r>
        <w:rPr>
          <w:spacing w:val="28"/>
          <w:w w:val="105"/>
          <w:sz w:val="22"/>
        </w:rPr>
        <w:t> </w:t>
      </w:r>
      <w:r>
        <w:rPr>
          <w:w w:val="105"/>
          <w:sz w:val="22"/>
        </w:rPr>
        <w:t>the</w:t>
      </w:r>
      <w:r>
        <w:rPr>
          <w:spacing w:val="30"/>
          <w:w w:val="105"/>
          <w:sz w:val="22"/>
        </w:rPr>
        <w:t> </w:t>
      </w:r>
      <w:r>
        <w:rPr>
          <w:w w:val="105"/>
          <w:sz w:val="22"/>
        </w:rPr>
        <w:t>intended</w:t>
      </w:r>
      <w:r>
        <w:rPr>
          <w:spacing w:val="26"/>
          <w:w w:val="105"/>
          <w:sz w:val="22"/>
        </w:rPr>
        <w:t> </w:t>
      </w:r>
      <w:r>
        <w:rPr>
          <w:w w:val="105"/>
          <w:sz w:val="22"/>
        </w:rPr>
        <w:t>private</w:t>
      </w:r>
      <w:r>
        <w:rPr>
          <w:spacing w:val="30"/>
          <w:w w:val="105"/>
          <w:sz w:val="22"/>
        </w:rPr>
        <w:t> </w:t>
      </w:r>
      <w:r>
        <w:rPr>
          <w:w w:val="105"/>
          <w:sz w:val="22"/>
        </w:rPr>
        <w:t>treaty</w:t>
      </w:r>
      <w:r>
        <w:rPr>
          <w:spacing w:val="27"/>
          <w:w w:val="105"/>
          <w:sz w:val="22"/>
        </w:rPr>
        <w:t> </w:t>
      </w:r>
      <w:r>
        <w:rPr>
          <w:w w:val="105"/>
          <w:sz w:val="22"/>
        </w:rPr>
        <w:t>sale</w:t>
      </w:r>
      <w:r>
        <w:rPr>
          <w:spacing w:val="30"/>
          <w:w w:val="105"/>
          <w:sz w:val="22"/>
        </w:rPr>
        <w:t> </w:t>
      </w:r>
      <w:r>
        <w:rPr>
          <w:w w:val="105"/>
          <w:sz w:val="22"/>
        </w:rPr>
        <w:t>being</w:t>
      </w:r>
      <w:r>
        <w:rPr>
          <w:spacing w:val="26"/>
          <w:w w:val="105"/>
          <w:sz w:val="22"/>
        </w:rPr>
        <w:t> </w:t>
      </w:r>
      <w:r>
        <w:rPr>
          <w:w w:val="105"/>
          <w:sz w:val="22"/>
        </w:rPr>
        <w:t>given</w:t>
      </w:r>
      <w:r>
        <w:rPr>
          <w:spacing w:val="30"/>
          <w:w w:val="105"/>
          <w:sz w:val="22"/>
        </w:rPr>
        <w:t> </w:t>
      </w:r>
      <w:r>
        <w:rPr>
          <w:w w:val="105"/>
          <w:sz w:val="22"/>
        </w:rPr>
        <w:t>(and</w:t>
      </w:r>
    </w:p>
    <w:p>
      <w:pPr>
        <w:spacing w:after="0" w:line="240" w:lineRule="auto"/>
        <w:jc w:val="both"/>
        <w:rPr>
          <w:sz w:val="22"/>
        </w:rPr>
        <w:sectPr>
          <w:pgSz w:w="11900" w:h="16860"/>
          <w:pgMar w:header="0" w:footer="761" w:top="1060" w:bottom="960" w:left="900" w:right="980"/>
        </w:sectPr>
      </w:pPr>
    </w:p>
    <w:p>
      <w:pPr>
        <w:pStyle w:val="BodyText"/>
        <w:spacing w:before="69"/>
        <w:ind w:left="1452" w:right="235"/>
        <w:jc w:val="both"/>
      </w:pPr>
      <w:r>
        <w:rPr>
          <w:w w:val="105"/>
        </w:rPr>
        <w:t>each must pay a contribution towards the purchase of the Default Share on a pro rata basis commensurate with the relevant Intending Purchaser’s Owner’s interest in the Horse immediately prior to that notice being given);</w:t>
      </w:r>
      <w:r>
        <w:rPr>
          <w:spacing w:val="-36"/>
          <w:w w:val="105"/>
        </w:rPr>
        <w:t> </w:t>
      </w:r>
      <w:r>
        <w:rPr>
          <w:spacing w:val="-2"/>
          <w:w w:val="105"/>
        </w:rPr>
        <w:t>and</w:t>
      </w:r>
    </w:p>
    <w:p>
      <w:pPr>
        <w:pStyle w:val="BodyText"/>
        <w:spacing w:before="11"/>
        <w:rPr>
          <w:sz w:val="21"/>
        </w:rPr>
      </w:pPr>
    </w:p>
    <w:p>
      <w:pPr>
        <w:pStyle w:val="ListParagraph"/>
        <w:numPr>
          <w:ilvl w:val="2"/>
          <w:numId w:val="1"/>
        </w:numPr>
        <w:tabs>
          <w:tab w:pos="1453" w:val="left" w:leader="none"/>
        </w:tabs>
        <w:spacing w:line="240" w:lineRule="auto" w:before="0" w:after="0"/>
        <w:ind w:left="1452" w:right="233" w:hanging="566"/>
        <w:jc w:val="both"/>
        <w:rPr>
          <w:sz w:val="22"/>
        </w:rPr>
      </w:pPr>
      <w:r>
        <w:rPr>
          <w:w w:val="105"/>
          <w:sz w:val="22"/>
        </w:rPr>
        <w:t>if all of the Default Share is not sold pursuant to clause 4.7(b), the remaining portion can be sold by the Managing Owner to any third party as the Managing</w:t>
      </w:r>
      <w:r>
        <w:rPr>
          <w:spacing w:val="63"/>
          <w:w w:val="105"/>
          <w:sz w:val="22"/>
        </w:rPr>
        <w:t> </w:t>
      </w:r>
      <w:r>
        <w:rPr>
          <w:w w:val="105"/>
          <w:sz w:val="22"/>
        </w:rPr>
        <w:t>Owner sees fit based on the Valuation Price. Alternatively, in those circumstances, the Managing Owner can elect to cancel the private treaty sale process because the Intending Purchasers were not able to purchase the whole of the Default Share and sell the Default Share unreserved at auction or privately to a third party at the Valuation</w:t>
      </w:r>
      <w:r>
        <w:rPr>
          <w:spacing w:val="-20"/>
          <w:w w:val="105"/>
          <w:sz w:val="22"/>
        </w:rPr>
        <w:t> </w:t>
      </w:r>
      <w:r>
        <w:rPr>
          <w:w w:val="105"/>
          <w:sz w:val="22"/>
        </w:rPr>
        <w:t>Price.</w:t>
      </w:r>
    </w:p>
    <w:p>
      <w:pPr>
        <w:pStyle w:val="BodyText"/>
        <w:spacing w:before="1"/>
      </w:pPr>
    </w:p>
    <w:p>
      <w:pPr>
        <w:pStyle w:val="ListParagraph"/>
        <w:numPr>
          <w:ilvl w:val="1"/>
          <w:numId w:val="1"/>
        </w:numPr>
        <w:tabs>
          <w:tab w:pos="887" w:val="left" w:leader="none"/>
        </w:tabs>
        <w:spacing w:line="240" w:lineRule="auto" w:before="0" w:after="0"/>
        <w:ind w:left="886" w:right="237" w:hanging="567"/>
        <w:jc w:val="both"/>
        <w:rPr>
          <w:sz w:val="22"/>
        </w:rPr>
      </w:pPr>
      <w:r>
        <w:rPr>
          <w:w w:val="105"/>
          <w:sz w:val="22"/>
        </w:rPr>
        <w:t>The proceeds of a sale pursuant to clauses 4.4 to 4.7 will be paid by the Managing Owner to the Defaulting Owner within 14 days of receipt of same, after</w:t>
      </w:r>
      <w:r>
        <w:rPr>
          <w:spacing w:val="-49"/>
          <w:w w:val="105"/>
          <w:sz w:val="22"/>
        </w:rPr>
        <w:t> </w:t>
      </w:r>
      <w:r>
        <w:rPr>
          <w:w w:val="105"/>
          <w:sz w:val="22"/>
        </w:rPr>
        <w:t>deducting:</w:t>
      </w:r>
    </w:p>
    <w:p>
      <w:pPr>
        <w:pStyle w:val="BodyText"/>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any reasonable costs and expenses relating to that sale;</w:t>
      </w:r>
      <w:r>
        <w:rPr>
          <w:spacing w:val="-51"/>
          <w:w w:val="105"/>
          <w:sz w:val="22"/>
        </w:rPr>
        <w:t> </w:t>
      </w:r>
      <w:r>
        <w:rPr>
          <w:spacing w:val="-2"/>
          <w:w w:val="105"/>
          <w:sz w:val="22"/>
        </w:rPr>
        <w:t>and</w:t>
      </w:r>
    </w:p>
    <w:p>
      <w:pPr>
        <w:pStyle w:val="BodyText"/>
        <w:spacing w:before="1"/>
      </w:pPr>
    </w:p>
    <w:p>
      <w:pPr>
        <w:pStyle w:val="ListParagraph"/>
        <w:numPr>
          <w:ilvl w:val="2"/>
          <w:numId w:val="1"/>
        </w:numPr>
        <w:tabs>
          <w:tab w:pos="1453" w:val="left" w:leader="none"/>
        </w:tabs>
        <w:spacing w:line="240" w:lineRule="auto" w:before="0" w:after="0"/>
        <w:ind w:left="1452" w:right="237" w:hanging="566"/>
        <w:jc w:val="both"/>
        <w:rPr>
          <w:sz w:val="22"/>
        </w:rPr>
      </w:pPr>
      <w:r>
        <w:rPr>
          <w:w w:val="105"/>
          <w:sz w:val="22"/>
        </w:rPr>
        <w:t>any other amounts owing by the Defaulting Owner to one or more of the other</w:t>
      </w:r>
      <w:r>
        <w:rPr>
          <w:spacing w:val="63"/>
          <w:w w:val="105"/>
          <w:sz w:val="22"/>
        </w:rPr>
        <w:t> </w:t>
      </w:r>
      <w:r>
        <w:rPr>
          <w:w w:val="105"/>
          <w:sz w:val="22"/>
        </w:rPr>
        <w:t>Co-owners or the Trainer in relation to Training Services provided for the Horse or other horses owned by the Horse Ownership</w:t>
      </w:r>
      <w:r>
        <w:rPr>
          <w:spacing w:val="-30"/>
          <w:w w:val="105"/>
          <w:sz w:val="22"/>
        </w:rPr>
        <w:t> </w:t>
      </w:r>
      <w:r>
        <w:rPr>
          <w:w w:val="105"/>
          <w:sz w:val="22"/>
        </w:rPr>
        <w:t>Venture.</w:t>
      </w:r>
    </w:p>
    <w:p>
      <w:pPr>
        <w:pStyle w:val="BodyText"/>
        <w:spacing w:before="10"/>
        <w:rPr>
          <w:sz w:val="21"/>
        </w:rPr>
      </w:pPr>
    </w:p>
    <w:p>
      <w:pPr>
        <w:pStyle w:val="ListParagraph"/>
        <w:numPr>
          <w:ilvl w:val="1"/>
          <w:numId w:val="1"/>
        </w:numPr>
        <w:tabs>
          <w:tab w:pos="887" w:val="left" w:leader="none"/>
        </w:tabs>
        <w:spacing w:line="240" w:lineRule="auto" w:before="0" w:after="0"/>
        <w:ind w:left="886" w:right="229" w:hanging="567"/>
        <w:jc w:val="both"/>
        <w:rPr>
          <w:sz w:val="22"/>
        </w:rPr>
      </w:pPr>
      <w:r>
        <w:rPr>
          <w:w w:val="105"/>
          <w:sz w:val="22"/>
        </w:rPr>
        <w:t>The Managing Owner and all other Co-owners shall not be liable in respect of a sale</w:t>
      </w:r>
      <w:r>
        <w:rPr>
          <w:spacing w:val="63"/>
          <w:w w:val="105"/>
          <w:sz w:val="22"/>
        </w:rPr>
        <w:t> </w:t>
      </w:r>
      <w:r>
        <w:rPr>
          <w:w w:val="105"/>
          <w:sz w:val="22"/>
        </w:rPr>
        <w:t>pursuant to clauses 4.4 to 4.7 and each Defaulting Owner shall hold the Managing Owner and all other Co-owners harmless and shall not bring any action or make any</w:t>
      </w:r>
      <w:r>
        <w:rPr>
          <w:spacing w:val="63"/>
          <w:w w:val="105"/>
          <w:sz w:val="22"/>
        </w:rPr>
        <w:t> </w:t>
      </w:r>
      <w:r>
        <w:rPr>
          <w:w w:val="105"/>
          <w:sz w:val="22"/>
        </w:rPr>
        <w:t>claim in respect of same, except in respect of fraud, wilful misconduct or negligence in relation to such a sale. Except in the circumstances of fraud, wilful misconduct and negligence just stated, under no circumstances will the Managing Owner or the other Co-owners be liable for any indirect or consequential loss suffered by a Defaulting Owner in respect of such a</w:t>
      </w:r>
      <w:r>
        <w:rPr>
          <w:spacing w:val="-4"/>
          <w:w w:val="105"/>
          <w:sz w:val="22"/>
        </w:rPr>
        <w:t> </w:t>
      </w:r>
      <w:r>
        <w:rPr>
          <w:w w:val="105"/>
          <w:sz w:val="22"/>
        </w:rPr>
        <w:t>sale.</w:t>
      </w:r>
    </w:p>
    <w:p>
      <w:pPr>
        <w:pStyle w:val="BodyText"/>
        <w:spacing w:before="3"/>
      </w:pPr>
    </w:p>
    <w:p>
      <w:pPr>
        <w:pStyle w:val="ListParagraph"/>
        <w:numPr>
          <w:ilvl w:val="1"/>
          <w:numId w:val="1"/>
        </w:numPr>
        <w:tabs>
          <w:tab w:pos="887" w:val="left" w:leader="none"/>
        </w:tabs>
        <w:spacing w:line="240" w:lineRule="auto" w:before="1" w:after="0"/>
        <w:ind w:left="886" w:right="218" w:hanging="567"/>
        <w:jc w:val="both"/>
        <w:rPr>
          <w:sz w:val="22"/>
        </w:rPr>
      </w:pPr>
      <w:r>
        <w:rPr>
          <w:spacing w:val="-3"/>
          <w:sz w:val="22"/>
        </w:rPr>
        <w:t>Each </w:t>
      </w:r>
      <w:r>
        <w:rPr>
          <w:spacing w:val="-4"/>
          <w:sz w:val="22"/>
        </w:rPr>
        <w:t>Owner </w:t>
      </w:r>
      <w:r>
        <w:rPr>
          <w:sz w:val="22"/>
        </w:rPr>
        <w:t>that agrees or is </w:t>
      </w:r>
      <w:r>
        <w:rPr>
          <w:spacing w:val="-3"/>
          <w:sz w:val="22"/>
        </w:rPr>
        <w:t>bound </w:t>
      </w:r>
      <w:r>
        <w:rPr>
          <w:sz w:val="22"/>
        </w:rPr>
        <w:t>to </w:t>
      </w:r>
      <w:r>
        <w:rPr>
          <w:spacing w:val="-3"/>
          <w:sz w:val="22"/>
        </w:rPr>
        <w:t>sell </w:t>
      </w:r>
      <w:r>
        <w:rPr>
          <w:sz w:val="22"/>
        </w:rPr>
        <w:t>and/or transfer an </w:t>
      </w:r>
      <w:r>
        <w:rPr>
          <w:spacing w:val="-4"/>
          <w:sz w:val="22"/>
        </w:rPr>
        <w:t>interest </w:t>
      </w:r>
      <w:r>
        <w:rPr>
          <w:sz w:val="22"/>
        </w:rPr>
        <w:t>in the Horse </w:t>
      </w:r>
      <w:r>
        <w:rPr>
          <w:spacing w:val="-4"/>
          <w:sz w:val="22"/>
        </w:rPr>
        <w:t>under </w:t>
      </w:r>
      <w:r>
        <w:rPr>
          <w:spacing w:val="-3"/>
          <w:sz w:val="22"/>
        </w:rPr>
        <w:t>this </w:t>
      </w:r>
      <w:r>
        <w:rPr>
          <w:spacing w:val="-4"/>
          <w:sz w:val="22"/>
        </w:rPr>
        <w:t>Agreement, whether involved </w:t>
      </w:r>
      <w:r>
        <w:rPr>
          <w:sz w:val="22"/>
        </w:rPr>
        <w:t>in a sale of the </w:t>
      </w:r>
      <w:r>
        <w:rPr>
          <w:spacing w:val="-4"/>
          <w:sz w:val="22"/>
        </w:rPr>
        <w:t>whole </w:t>
      </w:r>
      <w:r>
        <w:rPr>
          <w:sz w:val="22"/>
        </w:rPr>
        <w:t>of the </w:t>
      </w:r>
      <w:r>
        <w:rPr>
          <w:spacing w:val="-4"/>
          <w:sz w:val="22"/>
        </w:rPr>
        <w:t>Horse pursuant </w:t>
      </w:r>
      <w:r>
        <w:rPr>
          <w:sz w:val="22"/>
        </w:rPr>
        <w:t>to </w:t>
      </w:r>
      <w:r>
        <w:rPr>
          <w:spacing w:val="-4"/>
          <w:sz w:val="22"/>
        </w:rPr>
        <w:t>clause </w:t>
      </w:r>
      <w:r>
        <w:rPr>
          <w:spacing w:val="-3"/>
          <w:sz w:val="22"/>
        </w:rPr>
        <w:t>3.6(f), </w:t>
      </w:r>
      <w:r>
        <w:rPr>
          <w:sz w:val="22"/>
        </w:rPr>
        <w:t>a sale of an </w:t>
      </w:r>
      <w:r>
        <w:rPr>
          <w:spacing w:val="-4"/>
          <w:sz w:val="22"/>
        </w:rPr>
        <w:t>Owner’s interest </w:t>
      </w:r>
      <w:r>
        <w:rPr>
          <w:sz w:val="22"/>
        </w:rPr>
        <w:t>by an </w:t>
      </w:r>
      <w:r>
        <w:rPr>
          <w:spacing w:val="-4"/>
          <w:sz w:val="22"/>
        </w:rPr>
        <w:t>individual Prospective Vendor under clause </w:t>
      </w:r>
      <w:r>
        <w:rPr>
          <w:sz w:val="22"/>
        </w:rPr>
        <w:t>4.3, a </w:t>
      </w:r>
      <w:r>
        <w:rPr>
          <w:spacing w:val="-3"/>
          <w:sz w:val="22"/>
        </w:rPr>
        <w:t>sale </w:t>
      </w:r>
      <w:r>
        <w:rPr>
          <w:sz w:val="22"/>
        </w:rPr>
        <w:t>of the </w:t>
      </w:r>
      <w:r>
        <w:rPr>
          <w:spacing w:val="-4"/>
          <w:sz w:val="22"/>
        </w:rPr>
        <w:t>interest </w:t>
      </w:r>
      <w:r>
        <w:rPr>
          <w:sz w:val="22"/>
        </w:rPr>
        <w:t>of a </w:t>
      </w:r>
      <w:r>
        <w:rPr>
          <w:spacing w:val="-4"/>
          <w:sz w:val="22"/>
        </w:rPr>
        <w:t>Defaulting </w:t>
      </w:r>
      <w:r>
        <w:rPr>
          <w:spacing w:val="-3"/>
          <w:sz w:val="22"/>
        </w:rPr>
        <w:t>Owner </w:t>
      </w:r>
      <w:r>
        <w:rPr>
          <w:spacing w:val="-4"/>
          <w:sz w:val="22"/>
        </w:rPr>
        <w:t>under clauses </w:t>
      </w:r>
      <w:r>
        <w:rPr>
          <w:sz w:val="22"/>
        </w:rPr>
        <w:t>4.4 to 4.7, a </w:t>
      </w:r>
      <w:r>
        <w:rPr>
          <w:spacing w:val="-3"/>
          <w:sz w:val="22"/>
        </w:rPr>
        <w:t>sale </w:t>
      </w:r>
      <w:r>
        <w:rPr>
          <w:spacing w:val="-4"/>
          <w:sz w:val="22"/>
        </w:rPr>
        <w:t>following </w:t>
      </w:r>
      <w:r>
        <w:rPr>
          <w:sz w:val="22"/>
        </w:rPr>
        <w:t>an </w:t>
      </w:r>
      <w:r>
        <w:rPr>
          <w:spacing w:val="-4"/>
          <w:sz w:val="22"/>
        </w:rPr>
        <w:t>agreement </w:t>
      </w:r>
      <w:r>
        <w:rPr>
          <w:sz w:val="22"/>
        </w:rPr>
        <w:t>by </w:t>
      </w:r>
      <w:r>
        <w:rPr>
          <w:spacing w:val="-4"/>
          <w:sz w:val="22"/>
        </w:rPr>
        <w:t>Majority Consent </w:t>
      </w:r>
      <w:r>
        <w:rPr>
          <w:sz w:val="22"/>
        </w:rPr>
        <w:t>to </w:t>
      </w:r>
      <w:r>
        <w:rPr>
          <w:spacing w:val="-4"/>
          <w:sz w:val="22"/>
        </w:rPr>
        <w:t>terminate </w:t>
      </w:r>
      <w:r>
        <w:rPr>
          <w:spacing w:val="-3"/>
          <w:sz w:val="22"/>
        </w:rPr>
        <w:t>this </w:t>
      </w:r>
      <w:r>
        <w:rPr>
          <w:spacing w:val="-4"/>
          <w:sz w:val="22"/>
        </w:rPr>
        <w:t>Co-owner Agreement pursuant </w:t>
      </w:r>
      <w:r>
        <w:rPr>
          <w:sz w:val="22"/>
        </w:rPr>
        <w:t>to </w:t>
      </w:r>
      <w:r>
        <w:rPr>
          <w:spacing w:val="-3"/>
          <w:sz w:val="22"/>
        </w:rPr>
        <w:t>clause </w:t>
      </w:r>
      <w:r>
        <w:rPr>
          <w:spacing w:val="-4"/>
          <w:sz w:val="22"/>
        </w:rPr>
        <w:t>6.1(c), </w:t>
      </w:r>
      <w:r>
        <w:rPr>
          <w:sz w:val="22"/>
        </w:rPr>
        <w:t>or  </w:t>
      </w:r>
      <w:r>
        <w:rPr>
          <w:spacing w:val="-4"/>
          <w:sz w:val="22"/>
        </w:rPr>
        <w:t>otherwise </w:t>
      </w:r>
      <w:r>
        <w:rPr>
          <w:spacing w:val="-2"/>
          <w:sz w:val="22"/>
        </w:rPr>
        <w:t>(in </w:t>
      </w:r>
      <w:r>
        <w:rPr>
          <w:spacing w:val="-3"/>
          <w:sz w:val="22"/>
        </w:rPr>
        <w:t>each </w:t>
      </w:r>
      <w:r>
        <w:rPr>
          <w:spacing w:val="-4"/>
          <w:sz w:val="22"/>
        </w:rPr>
        <w:t>instance </w:t>
      </w:r>
      <w:r>
        <w:rPr>
          <w:sz w:val="22"/>
        </w:rPr>
        <w:t>the </w:t>
      </w:r>
      <w:r>
        <w:rPr>
          <w:b/>
          <w:spacing w:val="-4"/>
          <w:sz w:val="22"/>
        </w:rPr>
        <w:t>Outgoing </w:t>
      </w:r>
      <w:r>
        <w:rPr>
          <w:b/>
          <w:sz w:val="22"/>
        </w:rPr>
        <w:t>Owner</w:t>
      </w:r>
      <w:r>
        <w:rPr>
          <w:sz w:val="22"/>
        </w:rPr>
        <w:t>), </w:t>
      </w:r>
      <w:r>
        <w:rPr>
          <w:spacing w:val="-4"/>
          <w:sz w:val="22"/>
        </w:rPr>
        <w:t>agrees </w:t>
      </w:r>
      <w:r>
        <w:rPr>
          <w:sz w:val="22"/>
        </w:rPr>
        <w:t>to sign </w:t>
      </w:r>
      <w:r>
        <w:rPr>
          <w:spacing w:val="-3"/>
          <w:sz w:val="22"/>
        </w:rPr>
        <w:t>all </w:t>
      </w:r>
      <w:r>
        <w:rPr>
          <w:spacing w:val="-4"/>
          <w:sz w:val="22"/>
        </w:rPr>
        <w:t>documents </w:t>
      </w:r>
      <w:r>
        <w:rPr>
          <w:sz w:val="22"/>
        </w:rPr>
        <w:t>and do </w:t>
      </w:r>
      <w:r>
        <w:rPr>
          <w:spacing w:val="-3"/>
          <w:sz w:val="22"/>
        </w:rPr>
        <w:t>all </w:t>
      </w:r>
      <w:r>
        <w:rPr>
          <w:sz w:val="22"/>
        </w:rPr>
        <w:t>things </w:t>
      </w:r>
      <w:r>
        <w:rPr>
          <w:spacing w:val="-4"/>
          <w:sz w:val="22"/>
        </w:rPr>
        <w:t>necessary </w:t>
      </w:r>
      <w:r>
        <w:rPr>
          <w:sz w:val="22"/>
        </w:rPr>
        <w:t>to </w:t>
      </w:r>
      <w:r>
        <w:rPr>
          <w:spacing w:val="-4"/>
          <w:sz w:val="22"/>
        </w:rPr>
        <w:t>facilitate </w:t>
      </w:r>
      <w:r>
        <w:rPr>
          <w:sz w:val="22"/>
        </w:rPr>
        <w:t>the </w:t>
      </w:r>
      <w:r>
        <w:rPr>
          <w:spacing w:val="-3"/>
          <w:sz w:val="22"/>
        </w:rPr>
        <w:t>sale </w:t>
      </w:r>
      <w:r>
        <w:rPr>
          <w:sz w:val="22"/>
        </w:rPr>
        <w:t>and </w:t>
      </w:r>
      <w:r>
        <w:rPr>
          <w:spacing w:val="-4"/>
          <w:sz w:val="22"/>
        </w:rPr>
        <w:t>transfer </w:t>
      </w:r>
      <w:r>
        <w:rPr>
          <w:spacing w:val="-3"/>
          <w:sz w:val="22"/>
        </w:rPr>
        <w:t>of </w:t>
      </w:r>
      <w:r>
        <w:rPr>
          <w:sz w:val="22"/>
        </w:rPr>
        <w:t>the </w:t>
      </w:r>
      <w:r>
        <w:rPr>
          <w:spacing w:val="-4"/>
          <w:sz w:val="22"/>
        </w:rPr>
        <w:t>relevant interest </w:t>
      </w:r>
      <w:r>
        <w:rPr>
          <w:sz w:val="22"/>
        </w:rPr>
        <w:t>in the </w:t>
      </w:r>
      <w:r>
        <w:rPr>
          <w:spacing w:val="-4"/>
          <w:sz w:val="22"/>
        </w:rPr>
        <w:t>Horse within </w:t>
      </w:r>
      <w:r>
        <w:rPr>
          <w:spacing w:val="52"/>
          <w:sz w:val="22"/>
        </w:rPr>
        <w:t> </w:t>
      </w:r>
      <w:r>
        <w:rPr>
          <w:sz w:val="22"/>
        </w:rPr>
        <w:t>5 </w:t>
      </w:r>
      <w:r>
        <w:rPr>
          <w:spacing w:val="-3"/>
          <w:sz w:val="22"/>
        </w:rPr>
        <w:t>days </w:t>
      </w:r>
      <w:r>
        <w:rPr>
          <w:sz w:val="22"/>
        </w:rPr>
        <w:t>of </w:t>
      </w:r>
      <w:r>
        <w:rPr>
          <w:spacing w:val="-4"/>
          <w:sz w:val="22"/>
        </w:rPr>
        <w:t>being requested </w:t>
      </w:r>
      <w:r>
        <w:rPr>
          <w:sz w:val="22"/>
        </w:rPr>
        <w:t>to do</w:t>
      </w:r>
      <w:r>
        <w:rPr>
          <w:spacing w:val="-16"/>
          <w:sz w:val="22"/>
        </w:rPr>
        <w:t> </w:t>
      </w:r>
      <w:r>
        <w:rPr>
          <w:sz w:val="22"/>
        </w:rPr>
        <w:t>so.</w:t>
      </w:r>
    </w:p>
    <w:p>
      <w:pPr>
        <w:pStyle w:val="BodyText"/>
        <w:spacing w:before="7"/>
        <w:rPr>
          <w:sz w:val="21"/>
        </w:rPr>
      </w:pPr>
    </w:p>
    <w:p>
      <w:pPr>
        <w:pStyle w:val="ListParagraph"/>
        <w:numPr>
          <w:ilvl w:val="1"/>
          <w:numId w:val="1"/>
        </w:numPr>
        <w:tabs>
          <w:tab w:pos="887" w:val="left" w:leader="none"/>
        </w:tabs>
        <w:spacing w:line="240" w:lineRule="auto" w:before="0" w:after="0"/>
        <w:ind w:left="886" w:right="222" w:hanging="567"/>
        <w:jc w:val="both"/>
        <w:rPr>
          <w:sz w:val="22"/>
        </w:rPr>
      </w:pPr>
      <w:r>
        <w:rPr>
          <w:sz w:val="22"/>
        </w:rPr>
        <w:t>If an </w:t>
      </w:r>
      <w:r>
        <w:rPr>
          <w:spacing w:val="-4"/>
          <w:sz w:val="22"/>
        </w:rPr>
        <w:t>Outgoing Owner </w:t>
      </w:r>
      <w:r>
        <w:rPr>
          <w:spacing w:val="-3"/>
          <w:sz w:val="22"/>
        </w:rPr>
        <w:t>does </w:t>
      </w:r>
      <w:r>
        <w:rPr>
          <w:sz w:val="22"/>
        </w:rPr>
        <w:t>not </w:t>
      </w:r>
      <w:r>
        <w:rPr>
          <w:spacing w:val="-3"/>
          <w:sz w:val="22"/>
        </w:rPr>
        <w:t>comply with clause </w:t>
      </w:r>
      <w:r>
        <w:rPr>
          <w:spacing w:val="-4"/>
          <w:sz w:val="22"/>
        </w:rPr>
        <w:t>4.10, </w:t>
      </w:r>
      <w:r>
        <w:rPr>
          <w:sz w:val="22"/>
        </w:rPr>
        <w:t>that </w:t>
      </w:r>
      <w:r>
        <w:rPr>
          <w:spacing w:val="-4"/>
          <w:sz w:val="22"/>
        </w:rPr>
        <w:t>Outgoing Owner </w:t>
      </w:r>
      <w:r>
        <w:rPr>
          <w:sz w:val="22"/>
        </w:rPr>
        <w:t>hereby </w:t>
      </w:r>
      <w:r>
        <w:rPr>
          <w:spacing w:val="-4"/>
          <w:sz w:val="22"/>
        </w:rPr>
        <w:t>irrevocably appoints </w:t>
      </w:r>
      <w:r>
        <w:rPr>
          <w:sz w:val="22"/>
        </w:rPr>
        <w:t>and </w:t>
      </w:r>
      <w:r>
        <w:rPr>
          <w:spacing w:val="-4"/>
          <w:sz w:val="22"/>
        </w:rPr>
        <w:t>authorises </w:t>
      </w:r>
      <w:r>
        <w:rPr>
          <w:sz w:val="22"/>
        </w:rPr>
        <w:t>the </w:t>
      </w:r>
      <w:r>
        <w:rPr>
          <w:spacing w:val="-4"/>
          <w:sz w:val="22"/>
        </w:rPr>
        <w:t>Managing </w:t>
      </w:r>
      <w:r>
        <w:rPr>
          <w:spacing w:val="-3"/>
          <w:sz w:val="22"/>
        </w:rPr>
        <w:t>Owner </w:t>
      </w:r>
      <w:r>
        <w:rPr>
          <w:sz w:val="22"/>
        </w:rPr>
        <w:t>as agent to do all acts </w:t>
      </w:r>
      <w:r>
        <w:rPr>
          <w:spacing w:val="-4"/>
          <w:sz w:val="22"/>
        </w:rPr>
        <w:t>required </w:t>
      </w:r>
      <w:r>
        <w:rPr>
          <w:sz w:val="22"/>
        </w:rPr>
        <w:t>and sign </w:t>
      </w:r>
      <w:r>
        <w:rPr>
          <w:spacing w:val="-3"/>
          <w:sz w:val="22"/>
        </w:rPr>
        <w:t>all </w:t>
      </w:r>
      <w:r>
        <w:rPr>
          <w:spacing w:val="-4"/>
          <w:sz w:val="22"/>
        </w:rPr>
        <w:t>documents necessary </w:t>
      </w:r>
      <w:r>
        <w:rPr>
          <w:sz w:val="22"/>
        </w:rPr>
        <w:t>to </w:t>
      </w:r>
      <w:r>
        <w:rPr>
          <w:spacing w:val="-3"/>
          <w:sz w:val="22"/>
        </w:rPr>
        <w:t>ensure </w:t>
      </w:r>
      <w:r>
        <w:rPr>
          <w:sz w:val="22"/>
        </w:rPr>
        <w:t>that the </w:t>
      </w:r>
      <w:r>
        <w:rPr>
          <w:spacing w:val="-3"/>
          <w:sz w:val="22"/>
        </w:rPr>
        <w:t>sale </w:t>
      </w:r>
      <w:r>
        <w:rPr>
          <w:sz w:val="22"/>
        </w:rPr>
        <w:t>and transfer </w:t>
      </w:r>
      <w:r>
        <w:rPr>
          <w:spacing w:val="-3"/>
          <w:sz w:val="22"/>
        </w:rPr>
        <w:t>of </w:t>
      </w:r>
      <w:r>
        <w:rPr>
          <w:sz w:val="22"/>
        </w:rPr>
        <w:t>the </w:t>
      </w:r>
      <w:r>
        <w:rPr>
          <w:spacing w:val="-4"/>
          <w:sz w:val="22"/>
        </w:rPr>
        <w:t>relevant interest </w:t>
      </w:r>
      <w:r>
        <w:rPr>
          <w:sz w:val="22"/>
        </w:rPr>
        <w:t>in the </w:t>
      </w:r>
      <w:r>
        <w:rPr>
          <w:spacing w:val="-4"/>
          <w:sz w:val="22"/>
        </w:rPr>
        <w:t>Horse occurs </w:t>
      </w:r>
      <w:r>
        <w:rPr>
          <w:sz w:val="22"/>
        </w:rPr>
        <w:t>as </w:t>
      </w:r>
      <w:r>
        <w:rPr>
          <w:spacing w:val="-4"/>
          <w:sz w:val="22"/>
        </w:rPr>
        <w:t>required </w:t>
      </w:r>
      <w:r>
        <w:rPr>
          <w:sz w:val="22"/>
        </w:rPr>
        <w:t>by the </w:t>
      </w:r>
      <w:r>
        <w:rPr>
          <w:spacing w:val="-4"/>
          <w:sz w:val="22"/>
        </w:rPr>
        <w:t>Managing</w:t>
      </w:r>
      <w:r>
        <w:rPr>
          <w:spacing w:val="-20"/>
          <w:sz w:val="22"/>
        </w:rPr>
        <w:t> </w:t>
      </w:r>
      <w:r>
        <w:rPr>
          <w:spacing w:val="-3"/>
          <w:sz w:val="22"/>
        </w:rPr>
        <w:t>Owner.</w:t>
      </w:r>
    </w:p>
    <w:p>
      <w:pPr>
        <w:pStyle w:val="BodyText"/>
        <w:spacing w:before="9"/>
        <w:rPr>
          <w:sz w:val="21"/>
        </w:rPr>
      </w:pPr>
    </w:p>
    <w:p>
      <w:pPr>
        <w:pStyle w:val="ListParagraph"/>
        <w:numPr>
          <w:ilvl w:val="1"/>
          <w:numId w:val="1"/>
        </w:numPr>
        <w:tabs>
          <w:tab w:pos="887" w:val="left" w:leader="none"/>
        </w:tabs>
        <w:spacing w:line="240" w:lineRule="auto" w:before="1" w:after="0"/>
        <w:ind w:left="886" w:right="230" w:hanging="567"/>
        <w:jc w:val="both"/>
        <w:rPr>
          <w:sz w:val="22"/>
        </w:rPr>
      </w:pPr>
      <w:r>
        <w:rPr>
          <w:sz w:val="22"/>
        </w:rPr>
        <w:t>A person is responsible for the payment of fees or expenses associated with that person’s Owner’s interest in the horse (or former interest) until the latter of: the point when the person ceases to be the Owner of the relevant ownership interest in the Horse; or when the person has provided written notice to the Trainer of the Horse that the person no longer holds the relevant ownership interest in the</w:t>
      </w:r>
      <w:r>
        <w:rPr>
          <w:spacing w:val="-13"/>
          <w:sz w:val="22"/>
        </w:rPr>
        <w:t> </w:t>
      </w:r>
      <w:r>
        <w:rPr>
          <w:sz w:val="22"/>
        </w:rPr>
        <w:t>Horse.</w:t>
      </w:r>
    </w:p>
    <w:p>
      <w:pPr>
        <w:pStyle w:val="BodyText"/>
        <w:spacing w:before="8"/>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DISPUTES BETWEEN</w:t>
      </w:r>
      <w:r>
        <w:rPr>
          <w:spacing w:val="-6"/>
          <w:w w:val="105"/>
        </w:rPr>
        <w:t> </w:t>
      </w:r>
      <w:r>
        <w:rPr>
          <w:w w:val="105"/>
        </w:rPr>
        <w:t>CO-OWNERS</w:t>
      </w:r>
    </w:p>
    <w:p>
      <w:pPr>
        <w:pStyle w:val="BodyText"/>
        <w:rPr>
          <w:b/>
        </w:rPr>
      </w:pPr>
    </w:p>
    <w:p>
      <w:pPr>
        <w:pStyle w:val="ListParagraph"/>
        <w:numPr>
          <w:ilvl w:val="1"/>
          <w:numId w:val="1"/>
        </w:numPr>
        <w:tabs>
          <w:tab w:pos="887" w:val="left" w:leader="none"/>
        </w:tabs>
        <w:spacing w:line="240" w:lineRule="auto" w:before="0" w:after="0"/>
        <w:ind w:left="886" w:right="341" w:hanging="567"/>
        <w:jc w:val="both"/>
        <w:rPr>
          <w:sz w:val="22"/>
        </w:rPr>
      </w:pPr>
      <w:r>
        <w:rPr>
          <w:w w:val="105"/>
          <w:sz w:val="22"/>
        </w:rPr>
        <w:t>Any disputes in </w:t>
      </w:r>
      <w:r>
        <w:rPr>
          <w:spacing w:val="-5"/>
          <w:w w:val="105"/>
          <w:sz w:val="22"/>
        </w:rPr>
        <w:t>relation </w:t>
      </w:r>
      <w:r>
        <w:rPr>
          <w:w w:val="105"/>
          <w:sz w:val="22"/>
        </w:rPr>
        <w:t>to the Horse Ownership Venture, either between a Co-owner and </w:t>
      </w:r>
      <w:r>
        <w:rPr>
          <w:spacing w:val="-3"/>
          <w:w w:val="105"/>
          <w:sz w:val="22"/>
        </w:rPr>
        <w:t>the </w:t>
      </w:r>
      <w:r>
        <w:rPr>
          <w:w w:val="105"/>
          <w:sz w:val="22"/>
        </w:rPr>
        <w:t>Managing Owner, or between any of the Co-owners, including any dispute arising in connection with this Agreement, must in the first instance be raised with </w:t>
      </w:r>
      <w:r>
        <w:rPr>
          <w:spacing w:val="-3"/>
          <w:w w:val="105"/>
          <w:sz w:val="22"/>
        </w:rPr>
        <w:t>the </w:t>
      </w:r>
      <w:r>
        <w:rPr>
          <w:w w:val="105"/>
          <w:sz w:val="22"/>
        </w:rPr>
        <w:t>Managing Owner as soon as practicable, and the Managing Owner shall </w:t>
      </w:r>
      <w:r>
        <w:rPr>
          <w:spacing w:val="-2"/>
          <w:w w:val="105"/>
          <w:sz w:val="22"/>
        </w:rPr>
        <w:t>use </w:t>
      </w:r>
      <w:r>
        <w:rPr>
          <w:w w:val="105"/>
          <w:sz w:val="22"/>
        </w:rPr>
        <w:t>reasonable endeavours to resolve the dispute within 14 days of being notified of</w:t>
      </w:r>
      <w:r>
        <w:rPr>
          <w:spacing w:val="-30"/>
          <w:w w:val="105"/>
          <w:sz w:val="22"/>
        </w:rPr>
        <w:t> </w:t>
      </w:r>
      <w:r>
        <w:rPr>
          <w:w w:val="105"/>
          <w:sz w:val="22"/>
        </w:rPr>
        <w:t>it.</w:t>
      </w:r>
    </w:p>
    <w:p>
      <w:pPr>
        <w:spacing w:after="0" w:line="240" w:lineRule="auto"/>
        <w:jc w:val="both"/>
        <w:rPr>
          <w:sz w:val="22"/>
        </w:rPr>
        <w:sectPr>
          <w:pgSz w:w="11900" w:h="16860"/>
          <w:pgMar w:header="0" w:footer="761" w:top="1060" w:bottom="1020" w:left="900" w:right="980"/>
        </w:sectPr>
      </w:pPr>
    </w:p>
    <w:p>
      <w:pPr>
        <w:pStyle w:val="ListParagraph"/>
        <w:numPr>
          <w:ilvl w:val="1"/>
          <w:numId w:val="1"/>
        </w:numPr>
        <w:tabs>
          <w:tab w:pos="887" w:val="left" w:leader="none"/>
        </w:tabs>
        <w:spacing w:line="240" w:lineRule="auto" w:before="69" w:after="0"/>
        <w:ind w:left="886" w:right="356" w:hanging="567"/>
        <w:jc w:val="both"/>
        <w:rPr>
          <w:sz w:val="22"/>
        </w:rPr>
      </w:pPr>
      <w:r>
        <w:rPr>
          <w:w w:val="105"/>
          <w:sz w:val="22"/>
        </w:rPr>
        <w:t>Failing resolution of the dispute in accordance with efforts made pursuant to clause 5.1, the parties to the dispute must, before commencing legal proceedings in relation to the dispute (save for proceedings seeking urgent interlocutory relief), attend a mediation:</w:t>
      </w:r>
    </w:p>
    <w:p>
      <w:pPr>
        <w:pStyle w:val="BodyText"/>
      </w:pPr>
    </w:p>
    <w:p>
      <w:pPr>
        <w:pStyle w:val="ListParagraph"/>
        <w:numPr>
          <w:ilvl w:val="2"/>
          <w:numId w:val="1"/>
        </w:numPr>
        <w:tabs>
          <w:tab w:pos="1452" w:val="left" w:leader="none"/>
          <w:tab w:pos="1453" w:val="left" w:leader="none"/>
        </w:tabs>
        <w:spacing w:line="240" w:lineRule="auto" w:before="1" w:after="0"/>
        <w:ind w:left="1452" w:right="0" w:hanging="566"/>
        <w:jc w:val="left"/>
        <w:rPr>
          <w:sz w:val="22"/>
        </w:rPr>
      </w:pPr>
      <w:r>
        <w:rPr>
          <w:w w:val="105"/>
          <w:sz w:val="22"/>
        </w:rPr>
        <w:t>before a mediator mutually agreed by them;</w:t>
      </w:r>
      <w:r>
        <w:rPr>
          <w:spacing w:val="-30"/>
          <w:w w:val="105"/>
          <w:sz w:val="22"/>
        </w:rPr>
        <w:t> </w:t>
      </w:r>
      <w:r>
        <w:rPr>
          <w:w w:val="105"/>
          <w:sz w:val="22"/>
        </w:rPr>
        <w:t>or</w:t>
      </w:r>
    </w:p>
    <w:p>
      <w:pPr>
        <w:pStyle w:val="BodyText"/>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failing agreement, before a mediator nominated by Racing</w:t>
      </w:r>
      <w:r>
        <w:rPr>
          <w:spacing w:val="-12"/>
          <w:w w:val="105"/>
          <w:sz w:val="22"/>
        </w:rPr>
        <w:t> </w:t>
      </w:r>
      <w:r>
        <w:rPr>
          <w:w w:val="105"/>
          <w:sz w:val="22"/>
        </w:rPr>
        <w:t>Australia.</w:t>
      </w:r>
    </w:p>
    <w:p>
      <w:pPr>
        <w:pStyle w:val="BodyText"/>
        <w:spacing w:before="7"/>
        <w:rPr>
          <w:sz w:val="21"/>
        </w:rPr>
      </w:pPr>
    </w:p>
    <w:p>
      <w:pPr>
        <w:pStyle w:val="ListParagraph"/>
        <w:numPr>
          <w:ilvl w:val="1"/>
          <w:numId w:val="1"/>
        </w:numPr>
        <w:tabs>
          <w:tab w:pos="887" w:val="left" w:leader="none"/>
        </w:tabs>
        <w:spacing w:line="240" w:lineRule="auto" w:before="0" w:after="0"/>
        <w:ind w:left="886" w:right="359" w:hanging="567"/>
        <w:jc w:val="both"/>
        <w:rPr>
          <w:sz w:val="22"/>
        </w:rPr>
      </w:pPr>
      <w:r>
        <w:rPr>
          <w:w w:val="105"/>
          <w:sz w:val="22"/>
        </w:rPr>
        <w:t>Disputes between Co-owners are not matters that fall within the jurisdiction of the TDT under the Rules of</w:t>
      </w:r>
      <w:r>
        <w:rPr>
          <w:spacing w:val="-17"/>
          <w:w w:val="105"/>
          <w:sz w:val="22"/>
        </w:rPr>
        <w:t> </w:t>
      </w:r>
      <w:r>
        <w:rPr>
          <w:w w:val="105"/>
          <w:sz w:val="22"/>
        </w:rPr>
        <w:t>Racing.</w:t>
      </w:r>
    </w:p>
    <w:p>
      <w:pPr>
        <w:pStyle w:val="BodyText"/>
        <w:spacing w:before="11"/>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TERMINATION</w:t>
      </w:r>
    </w:p>
    <w:p>
      <w:pPr>
        <w:pStyle w:val="BodyText"/>
        <w:spacing w:before="10"/>
        <w:rPr>
          <w:b/>
          <w:sz w:val="21"/>
        </w:rPr>
      </w:pPr>
    </w:p>
    <w:p>
      <w:pPr>
        <w:pStyle w:val="ListParagraph"/>
        <w:numPr>
          <w:ilvl w:val="1"/>
          <w:numId w:val="1"/>
        </w:numPr>
        <w:tabs>
          <w:tab w:pos="887" w:val="left" w:leader="none"/>
        </w:tabs>
        <w:spacing w:line="240" w:lineRule="auto" w:before="0" w:after="0"/>
        <w:ind w:left="886" w:right="239" w:hanging="567"/>
        <w:jc w:val="both"/>
        <w:rPr>
          <w:sz w:val="22"/>
        </w:rPr>
      </w:pPr>
      <w:r>
        <w:rPr>
          <w:w w:val="105"/>
          <w:sz w:val="22"/>
        </w:rPr>
        <w:t>This Agreement (as may be amended by Racing Australia pursuant to the Rules of Racing from time to time) shall have full effect until the earliest of the</w:t>
      </w:r>
      <w:r>
        <w:rPr>
          <w:spacing w:val="-35"/>
          <w:w w:val="105"/>
          <w:sz w:val="22"/>
        </w:rPr>
        <w:t> </w:t>
      </w:r>
      <w:r>
        <w:rPr>
          <w:w w:val="105"/>
          <w:sz w:val="22"/>
        </w:rPr>
        <w:t>followingevents:</w:t>
      </w:r>
    </w:p>
    <w:p>
      <w:pPr>
        <w:pStyle w:val="BodyText"/>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the Horse</w:t>
      </w:r>
      <w:r>
        <w:rPr>
          <w:spacing w:val="-16"/>
          <w:w w:val="105"/>
          <w:sz w:val="22"/>
        </w:rPr>
        <w:t> </w:t>
      </w:r>
      <w:r>
        <w:rPr>
          <w:w w:val="105"/>
          <w:sz w:val="22"/>
        </w:rPr>
        <w:t>dying;</w:t>
      </w:r>
    </w:p>
    <w:p>
      <w:pPr>
        <w:pStyle w:val="BodyText"/>
        <w:spacing w:before="9"/>
        <w:rPr>
          <w:sz w:val="21"/>
        </w:rPr>
      </w:pPr>
    </w:p>
    <w:p>
      <w:pPr>
        <w:pStyle w:val="ListParagraph"/>
        <w:numPr>
          <w:ilvl w:val="2"/>
          <w:numId w:val="1"/>
        </w:numPr>
        <w:tabs>
          <w:tab w:pos="1453" w:val="left" w:leader="none"/>
        </w:tabs>
        <w:spacing w:line="240" w:lineRule="auto" w:before="0" w:after="0"/>
        <w:ind w:left="1452" w:right="355" w:hanging="566"/>
        <w:jc w:val="both"/>
        <w:rPr>
          <w:sz w:val="22"/>
        </w:rPr>
      </w:pPr>
      <w:r>
        <w:rPr>
          <w:w w:val="105"/>
          <w:sz w:val="22"/>
        </w:rPr>
        <w:t>the Horse being retired from racing without being sold or without being used for breeding purposes by all or some of the Co-owners, which decision can only be taken with the Majority Consent of the</w:t>
      </w:r>
      <w:r>
        <w:rPr>
          <w:spacing w:val="-9"/>
          <w:w w:val="105"/>
          <w:sz w:val="22"/>
        </w:rPr>
        <w:t> </w:t>
      </w:r>
      <w:r>
        <w:rPr>
          <w:w w:val="105"/>
          <w:sz w:val="22"/>
        </w:rPr>
        <w:t>Owners;or</w:t>
      </w:r>
    </w:p>
    <w:p>
      <w:pPr>
        <w:pStyle w:val="BodyText"/>
        <w:spacing w:before="1"/>
      </w:pPr>
    </w:p>
    <w:p>
      <w:pPr>
        <w:pStyle w:val="ListParagraph"/>
        <w:numPr>
          <w:ilvl w:val="2"/>
          <w:numId w:val="1"/>
        </w:numPr>
        <w:tabs>
          <w:tab w:pos="1453" w:val="left" w:leader="none"/>
        </w:tabs>
        <w:spacing w:line="240" w:lineRule="auto" w:before="0" w:after="0"/>
        <w:ind w:left="1452" w:right="358" w:hanging="566"/>
        <w:jc w:val="both"/>
        <w:rPr>
          <w:sz w:val="22"/>
        </w:rPr>
      </w:pPr>
      <w:r>
        <w:rPr>
          <w:w w:val="105"/>
          <w:sz w:val="22"/>
        </w:rPr>
        <w:t>if by Majority Consent the Owners decide to terminate their Horse Ownership Venture for any reason, in which case the Horse should be sold in accordance with clause</w:t>
      </w:r>
      <w:r>
        <w:rPr>
          <w:spacing w:val="-5"/>
          <w:w w:val="105"/>
          <w:sz w:val="22"/>
        </w:rPr>
        <w:t> </w:t>
      </w:r>
      <w:r>
        <w:rPr>
          <w:w w:val="105"/>
          <w:sz w:val="22"/>
        </w:rPr>
        <w:t>6.2.</w:t>
      </w:r>
    </w:p>
    <w:p>
      <w:pPr>
        <w:pStyle w:val="BodyText"/>
        <w:spacing w:before="1"/>
      </w:pPr>
    </w:p>
    <w:p>
      <w:pPr>
        <w:pStyle w:val="ListParagraph"/>
        <w:numPr>
          <w:ilvl w:val="1"/>
          <w:numId w:val="1"/>
        </w:numPr>
        <w:tabs>
          <w:tab w:pos="887" w:val="left" w:leader="none"/>
        </w:tabs>
        <w:spacing w:line="240" w:lineRule="auto" w:before="0" w:after="0"/>
        <w:ind w:left="886" w:right="351" w:hanging="567"/>
        <w:jc w:val="both"/>
        <w:rPr>
          <w:sz w:val="22"/>
        </w:rPr>
      </w:pPr>
      <w:r>
        <w:rPr>
          <w:w w:val="105"/>
          <w:sz w:val="22"/>
        </w:rPr>
        <w:t>Where the Co-owners decide to terminate their Horse Ownership Venture pursuant to clause 6.1(c), unless otherwise agreed by Majority Consent, the Horse’s sale, and the distribution of the proceeds of it, must occur in accordance with clauses 4.5 to 4.12, to the intent that the sale must occur so that the process and provisions recorded in clauses 4.5 to 4.12 in relation to the sale of a Default Share of the Horse, as applicable and adapted, also apply to the sale of the whole of the Horse following a Majority Consent decision to terminate this</w:t>
      </w:r>
      <w:r>
        <w:rPr>
          <w:spacing w:val="-25"/>
          <w:w w:val="105"/>
          <w:sz w:val="22"/>
        </w:rPr>
        <w:t> </w:t>
      </w:r>
      <w:r>
        <w:rPr>
          <w:w w:val="105"/>
          <w:sz w:val="22"/>
        </w:rPr>
        <w:t>Agreement.</w:t>
      </w:r>
    </w:p>
    <w:p>
      <w:pPr>
        <w:pStyle w:val="BodyText"/>
      </w:pPr>
    </w:p>
    <w:p>
      <w:pPr>
        <w:pStyle w:val="ListParagraph"/>
        <w:numPr>
          <w:ilvl w:val="1"/>
          <w:numId w:val="1"/>
        </w:numPr>
        <w:tabs>
          <w:tab w:pos="887" w:val="left" w:leader="none"/>
        </w:tabs>
        <w:spacing w:line="240" w:lineRule="auto" w:before="0" w:after="0"/>
        <w:ind w:left="886" w:right="202" w:hanging="567"/>
        <w:jc w:val="both"/>
        <w:rPr>
          <w:sz w:val="22"/>
        </w:rPr>
      </w:pPr>
      <w:r>
        <w:rPr>
          <w:w w:val="105"/>
          <w:sz w:val="22"/>
        </w:rPr>
        <w:t>On </w:t>
      </w:r>
      <w:r>
        <w:rPr>
          <w:spacing w:val="-5"/>
          <w:w w:val="105"/>
          <w:sz w:val="22"/>
        </w:rPr>
        <w:t>termination </w:t>
      </w:r>
      <w:r>
        <w:rPr>
          <w:w w:val="105"/>
          <w:sz w:val="22"/>
        </w:rPr>
        <w:t>of this Agreement pursuant to this clause 6, all assets other than the Horse which are </w:t>
      </w:r>
      <w:r>
        <w:rPr>
          <w:spacing w:val="-5"/>
          <w:w w:val="105"/>
          <w:sz w:val="22"/>
        </w:rPr>
        <w:t>collectively </w:t>
      </w:r>
      <w:r>
        <w:rPr>
          <w:w w:val="105"/>
          <w:sz w:val="22"/>
        </w:rPr>
        <w:t>owned by the Co-owners </w:t>
      </w:r>
      <w:r>
        <w:rPr>
          <w:spacing w:val="-3"/>
          <w:w w:val="105"/>
          <w:sz w:val="22"/>
        </w:rPr>
        <w:t>in </w:t>
      </w:r>
      <w:r>
        <w:rPr>
          <w:spacing w:val="-12"/>
          <w:w w:val="105"/>
          <w:sz w:val="22"/>
        </w:rPr>
        <w:t>respect </w:t>
      </w:r>
      <w:r>
        <w:rPr>
          <w:spacing w:val="-4"/>
          <w:w w:val="105"/>
          <w:sz w:val="22"/>
        </w:rPr>
        <w:t>of </w:t>
      </w:r>
      <w:r>
        <w:rPr>
          <w:spacing w:val="-8"/>
          <w:w w:val="105"/>
          <w:sz w:val="22"/>
        </w:rPr>
        <w:t>the </w:t>
      </w:r>
      <w:r>
        <w:rPr>
          <w:spacing w:val="-10"/>
          <w:w w:val="105"/>
          <w:sz w:val="22"/>
        </w:rPr>
        <w:t>Horse </w:t>
      </w:r>
      <w:r>
        <w:rPr>
          <w:spacing w:val="-13"/>
          <w:w w:val="105"/>
          <w:sz w:val="22"/>
        </w:rPr>
        <w:t>Ownership </w:t>
      </w:r>
      <w:r>
        <w:rPr>
          <w:spacing w:val="-12"/>
          <w:w w:val="105"/>
          <w:sz w:val="22"/>
        </w:rPr>
        <w:t>Venture</w:t>
      </w:r>
      <w:r>
        <w:rPr>
          <w:spacing w:val="-33"/>
          <w:w w:val="105"/>
          <w:sz w:val="22"/>
        </w:rPr>
        <w:t> </w:t>
      </w:r>
      <w:r>
        <w:rPr>
          <w:w w:val="105"/>
          <w:sz w:val="22"/>
        </w:rPr>
        <w:t>shall</w:t>
      </w:r>
      <w:r>
        <w:rPr>
          <w:spacing w:val="-9"/>
          <w:w w:val="105"/>
          <w:sz w:val="22"/>
        </w:rPr>
        <w:t> </w:t>
      </w:r>
      <w:r>
        <w:rPr>
          <w:w w:val="105"/>
          <w:sz w:val="22"/>
        </w:rPr>
        <w:t>be</w:t>
      </w:r>
      <w:r>
        <w:rPr>
          <w:spacing w:val="-10"/>
          <w:w w:val="105"/>
          <w:sz w:val="22"/>
        </w:rPr>
        <w:t> </w:t>
      </w:r>
      <w:r>
        <w:rPr>
          <w:w w:val="105"/>
          <w:sz w:val="22"/>
        </w:rPr>
        <w:t>sold</w:t>
      </w:r>
      <w:r>
        <w:rPr>
          <w:spacing w:val="-7"/>
          <w:w w:val="105"/>
          <w:sz w:val="22"/>
        </w:rPr>
        <w:t> </w:t>
      </w:r>
      <w:r>
        <w:rPr>
          <w:w w:val="105"/>
          <w:sz w:val="22"/>
        </w:rPr>
        <w:t>by</w:t>
      </w:r>
      <w:r>
        <w:rPr>
          <w:spacing w:val="-9"/>
          <w:w w:val="105"/>
          <w:sz w:val="22"/>
        </w:rPr>
        <w:t> </w:t>
      </w:r>
      <w:r>
        <w:rPr>
          <w:w w:val="105"/>
          <w:sz w:val="22"/>
        </w:rPr>
        <w:t>private</w:t>
      </w:r>
      <w:r>
        <w:rPr>
          <w:spacing w:val="-6"/>
          <w:w w:val="105"/>
          <w:sz w:val="22"/>
        </w:rPr>
        <w:t> </w:t>
      </w:r>
      <w:r>
        <w:rPr>
          <w:spacing w:val="-3"/>
          <w:w w:val="105"/>
          <w:sz w:val="22"/>
        </w:rPr>
        <w:t>tender</w:t>
      </w:r>
      <w:r>
        <w:rPr>
          <w:spacing w:val="-6"/>
          <w:w w:val="105"/>
          <w:sz w:val="22"/>
        </w:rPr>
        <w:t> </w:t>
      </w:r>
      <w:r>
        <w:rPr>
          <w:w w:val="105"/>
          <w:sz w:val="22"/>
        </w:rPr>
        <w:t>or</w:t>
      </w:r>
      <w:r>
        <w:rPr>
          <w:spacing w:val="-6"/>
          <w:w w:val="105"/>
          <w:sz w:val="22"/>
        </w:rPr>
        <w:t> </w:t>
      </w:r>
      <w:r>
        <w:rPr>
          <w:w w:val="105"/>
          <w:sz w:val="22"/>
        </w:rPr>
        <w:t>by</w:t>
      </w:r>
      <w:r>
        <w:rPr>
          <w:spacing w:val="-4"/>
          <w:w w:val="105"/>
          <w:sz w:val="22"/>
        </w:rPr>
        <w:t> </w:t>
      </w:r>
      <w:r>
        <w:rPr>
          <w:w w:val="105"/>
          <w:sz w:val="22"/>
        </w:rPr>
        <w:t>auction</w:t>
      </w:r>
      <w:r>
        <w:rPr>
          <w:spacing w:val="-2"/>
          <w:w w:val="105"/>
          <w:sz w:val="22"/>
        </w:rPr>
        <w:t> </w:t>
      </w:r>
      <w:r>
        <w:rPr>
          <w:w w:val="105"/>
          <w:sz w:val="22"/>
        </w:rPr>
        <w:t>and</w:t>
      </w:r>
      <w:r>
        <w:rPr>
          <w:spacing w:val="-2"/>
          <w:w w:val="105"/>
          <w:sz w:val="22"/>
        </w:rPr>
        <w:t> </w:t>
      </w:r>
      <w:r>
        <w:rPr>
          <w:w w:val="105"/>
          <w:sz w:val="22"/>
        </w:rPr>
        <w:t>be</w:t>
      </w:r>
      <w:r>
        <w:rPr>
          <w:spacing w:val="-2"/>
          <w:w w:val="105"/>
          <w:sz w:val="22"/>
        </w:rPr>
        <w:t> </w:t>
      </w:r>
      <w:r>
        <w:rPr>
          <w:w w:val="105"/>
          <w:sz w:val="22"/>
        </w:rPr>
        <w:t>evidenced</w:t>
      </w:r>
      <w:r>
        <w:rPr>
          <w:spacing w:val="0"/>
          <w:w w:val="105"/>
          <w:sz w:val="22"/>
        </w:rPr>
        <w:t> </w:t>
      </w:r>
      <w:r>
        <w:rPr>
          <w:w w:val="105"/>
          <w:sz w:val="22"/>
        </w:rPr>
        <w:t>in</w:t>
      </w:r>
      <w:r>
        <w:rPr>
          <w:spacing w:val="-2"/>
          <w:w w:val="105"/>
          <w:sz w:val="22"/>
        </w:rPr>
        <w:t> </w:t>
      </w:r>
      <w:r>
        <w:rPr>
          <w:w w:val="105"/>
          <w:sz w:val="22"/>
        </w:rPr>
        <w:t>writing,</w:t>
      </w:r>
      <w:r>
        <w:rPr>
          <w:spacing w:val="-5"/>
          <w:w w:val="105"/>
          <w:sz w:val="22"/>
        </w:rPr>
        <w:t> </w:t>
      </w:r>
      <w:r>
        <w:rPr>
          <w:w w:val="105"/>
          <w:sz w:val="22"/>
        </w:rPr>
        <w:t>and</w:t>
      </w:r>
      <w:r>
        <w:rPr>
          <w:spacing w:val="-2"/>
          <w:w w:val="105"/>
          <w:sz w:val="22"/>
        </w:rPr>
        <w:t> </w:t>
      </w:r>
      <w:r>
        <w:rPr>
          <w:w w:val="105"/>
          <w:sz w:val="22"/>
        </w:rPr>
        <w:t>the funds paid to the Co-owners in proportion to their respective Owner’s </w:t>
      </w:r>
      <w:r>
        <w:rPr>
          <w:spacing w:val="-5"/>
          <w:w w:val="105"/>
          <w:sz w:val="22"/>
        </w:rPr>
        <w:t>interests </w:t>
      </w:r>
      <w:r>
        <w:rPr>
          <w:w w:val="105"/>
          <w:sz w:val="22"/>
        </w:rPr>
        <w:t>in the</w:t>
      </w:r>
      <w:r>
        <w:rPr>
          <w:spacing w:val="63"/>
          <w:w w:val="105"/>
          <w:sz w:val="22"/>
        </w:rPr>
        <w:t> </w:t>
      </w:r>
      <w:r>
        <w:rPr>
          <w:w w:val="105"/>
          <w:sz w:val="22"/>
        </w:rPr>
        <w:t>Horse.</w:t>
      </w:r>
    </w:p>
    <w:p>
      <w:pPr>
        <w:pStyle w:val="BodyText"/>
        <w:spacing w:before="8"/>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LIABILITIES &amp;</w:t>
      </w:r>
      <w:r>
        <w:rPr>
          <w:spacing w:val="-1"/>
          <w:w w:val="105"/>
        </w:rPr>
        <w:t> </w:t>
      </w:r>
      <w:r>
        <w:rPr>
          <w:w w:val="105"/>
        </w:rPr>
        <w:t>WARRANTIES</w:t>
      </w:r>
    </w:p>
    <w:p>
      <w:pPr>
        <w:pStyle w:val="BodyText"/>
        <w:rPr>
          <w:b/>
        </w:rPr>
      </w:pPr>
    </w:p>
    <w:p>
      <w:pPr>
        <w:pStyle w:val="ListParagraph"/>
        <w:numPr>
          <w:ilvl w:val="1"/>
          <w:numId w:val="1"/>
        </w:numPr>
        <w:tabs>
          <w:tab w:pos="846" w:val="left" w:leader="none"/>
        </w:tabs>
        <w:spacing w:line="240" w:lineRule="auto" w:before="0" w:after="0"/>
        <w:ind w:left="886" w:right="351" w:hanging="567"/>
        <w:jc w:val="both"/>
        <w:rPr>
          <w:sz w:val="22"/>
        </w:rPr>
      </w:pPr>
      <w:r>
        <w:rPr>
          <w:w w:val="105"/>
          <w:sz w:val="22"/>
        </w:rPr>
        <w:t>The Co-owners agree that </w:t>
      </w:r>
      <w:r>
        <w:rPr>
          <w:spacing w:val="-4"/>
          <w:w w:val="105"/>
          <w:sz w:val="22"/>
        </w:rPr>
        <w:t>liabilities </w:t>
      </w:r>
      <w:r>
        <w:rPr>
          <w:w w:val="105"/>
          <w:sz w:val="22"/>
        </w:rPr>
        <w:t>incurred by the Managing Owner in respect of the Horse in good </w:t>
      </w:r>
      <w:r>
        <w:rPr>
          <w:spacing w:val="-3"/>
          <w:w w:val="105"/>
          <w:sz w:val="22"/>
        </w:rPr>
        <w:t>faith </w:t>
      </w:r>
      <w:r>
        <w:rPr>
          <w:w w:val="105"/>
          <w:sz w:val="22"/>
        </w:rPr>
        <w:t>and in connection with the Horse Ownership Venture are to be borne by the Co-owners in accordance with their respective Owner’s interest in the</w:t>
      </w:r>
      <w:r>
        <w:rPr>
          <w:spacing w:val="63"/>
          <w:w w:val="105"/>
          <w:sz w:val="22"/>
        </w:rPr>
        <w:t> </w:t>
      </w:r>
      <w:r>
        <w:rPr>
          <w:w w:val="105"/>
          <w:sz w:val="22"/>
        </w:rPr>
        <w:t>Horse, and paid </w:t>
      </w:r>
      <w:r>
        <w:rPr>
          <w:spacing w:val="-5"/>
          <w:w w:val="105"/>
          <w:sz w:val="22"/>
        </w:rPr>
        <w:t>accordingly </w:t>
      </w:r>
      <w:r>
        <w:rPr>
          <w:spacing w:val="-3"/>
          <w:w w:val="105"/>
          <w:sz w:val="22"/>
        </w:rPr>
        <w:t>when </w:t>
      </w:r>
      <w:r>
        <w:rPr>
          <w:w w:val="105"/>
          <w:sz w:val="22"/>
        </w:rPr>
        <w:t>due and</w:t>
      </w:r>
      <w:r>
        <w:rPr>
          <w:spacing w:val="-41"/>
          <w:w w:val="105"/>
          <w:sz w:val="22"/>
        </w:rPr>
        <w:t> </w:t>
      </w:r>
      <w:r>
        <w:rPr>
          <w:spacing w:val="-4"/>
          <w:w w:val="105"/>
          <w:sz w:val="22"/>
        </w:rPr>
        <w:t>payable.</w:t>
      </w:r>
    </w:p>
    <w:p>
      <w:pPr>
        <w:pStyle w:val="BodyText"/>
        <w:spacing w:before="1"/>
      </w:pPr>
    </w:p>
    <w:p>
      <w:pPr>
        <w:pStyle w:val="ListParagraph"/>
        <w:numPr>
          <w:ilvl w:val="1"/>
          <w:numId w:val="1"/>
        </w:numPr>
        <w:tabs>
          <w:tab w:pos="846" w:val="left" w:leader="none"/>
        </w:tabs>
        <w:spacing w:line="240" w:lineRule="auto" w:before="0" w:after="0"/>
        <w:ind w:left="886" w:right="322" w:hanging="567"/>
        <w:jc w:val="both"/>
        <w:rPr>
          <w:sz w:val="22"/>
        </w:rPr>
      </w:pPr>
      <w:r>
        <w:rPr>
          <w:w w:val="105"/>
          <w:sz w:val="22"/>
        </w:rPr>
        <w:t>The Co-owners agree all expenses and </w:t>
      </w:r>
      <w:r>
        <w:rPr>
          <w:spacing w:val="-5"/>
          <w:w w:val="105"/>
          <w:sz w:val="22"/>
        </w:rPr>
        <w:t>liabilities </w:t>
      </w:r>
      <w:r>
        <w:rPr>
          <w:w w:val="105"/>
          <w:sz w:val="22"/>
        </w:rPr>
        <w:t>incurred in </w:t>
      </w:r>
      <w:r>
        <w:rPr>
          <w:spacing w:val="-4"/>
          <w:w w:val="105"/>
          <w:sz w:val="22"/>
        </w:rPr>
        <w:t>relation </w:t>
      </w:r>
      <w:r>
        <w:rPr>
          <w:w w:val="105"/>
          <w:sz w:val="22"/>
        </w:rPr>
        <w:t>to the </w:t>
      </w:r>
      <w:r>
        <w:rPr>
          <w:spacing w:val="-9"/>
          <w:w w:val="105"/>
          <w:sz w:val="22"/>
        </w:rPr>
        <w:t>Horse </w:t>
      </w:r>
      <w:r>
        <w:rPr>
          <w:spacing w:val="-11"/>
          <w:w w:val="105"/>
          <w:sz w:val="22"/>
        </w:rPr>
        <w:t>Ownership </w:t>
      </w:r>
      <w:r>
        <w:rPr>
          <w:w w:val="105"/>
          <w:sz w:val="22"/>
        </w:rPr>
        <w:t>Venture are to be borne by them in </w:t>
      </w:r>
      <w:r>
        <w:rPr>
          <w:spacing w:val="-4"/>
          <w:w w:val="105"/>
          <w:sz w:val="22"/>
        </w:rPr>
        <w:t>proportion </w:t>
      </w:r>
      <w:r>
        <w:rPr>
          <w:w w:val="105"/>
          <w:sz w:val="22"/>
        </w:rPr>
        <w:t>to their respective Owner’s interest in the</w:t>
      </w:r>
      <w:r>
        <w:rPr>
          <w:spacing w:val="-37"/>
          <w:w w:val="105"/>
          <w:sz w:val="22"/>
        </w:rPr>
        <w:t> </w:t>
      </w:r>
      <w:r>
        <w:rPr>
          <w:w w:val="105"/>
          <w:sz w:val="22"/>
        </w:rPr>
        <w:t>Horse.</w:t>
      </w:r>
    </w:p>
    <w:p>
      <w:pPr>
        <w:pStyle w:val="BodyText"/>
        <w:spacing w:before="1"/>
      </w:pPr>
    </w:p>
    <w:p>
      <w:pPr>
        <w:pStyle w:val="ListParagraph"/>
        <w:numPr>
          <w:ilvl w:val="1"/>
          <w:numId w:val="1"/>
        </w:numPr>
        <w:tabs>
          <w:tab w:pos="887" w:val="left" w:leader="none"/>
        </w:tabs>
        <w:spacing w:line="240" w:lineRule="auto" w:before="0" w:after="0"/>
        <w:ind w:left="886" w:right="226" w:hanging="567"/>
        <w:jc w:val="both"/>
        <w:rPr>
          <w:sz w:val="22"/>
        </w:rPr>
      </w:pPr>
      <w:r>
        <w:rPr>
          <w:w w:val="105"/>
          <w:sz w:val="22"/>
        </w:rPr>
        <w:t>Each Co-owner acknowledges that he or she has not relied on any </w:t>
      </w:r>
      <w:r>
        <w:rPr>
          <w:spacing w:val="-5"/>
          <w:w w:val="105"/>
          <w:sz w:val="22"/>
        </w:rPr>
        <w:t>representation </w:t>
      </w:r>
      <w:r>
        <w:rPr>
          <w:spacing w:val="-4"/>
          <w:w w:val="105"/>
          <w:sz w:val="22"/>
        </w:rPr>
        <w:t>made,</w:t>
      </w:r>
      <w:r>
        <w:rPr>
          <w:spacing w:val="-10"/>
          <w:w w:val="105"/>
          <w:sz w:val="22"/>
        </w:rPr>
        <w:t> </w:t>
      </w:r>
      <w:r>
        <w:rPr>
          <w:spacing w:val="-3"/>
          <w:w w:val="105"/>
          <w:sz w:val="22"/>
        </w:rPr>
        <w:t>and</w:t>
      </w:r>
      <w:r>
        <w:rPr>
          <w:spacing w:val="-10"/>
          <w:w w:val="105"/>
          <w:sz w:val="22"/>
        </w:rPr>
        <w:t> </w:t>
      </w:r>
      <w:r>
        <w:rPr>
          <w:w w:val="105"/>
          <w:sz w:val="22"/>
        </w:rPr>
        <w:t>no</w:t>
      </w:r>
      <w:r>
        <w:rPr>
          <w:spacing w:val="-7"/>
          <w:w w:val="105"/>
          <w:sz w:val="22"/>
        </w:rPr>
        <w:t> </w:t>
      </w:r>
      <w:r>
        <w:rPr>
          <w:w w:val="105"/>
          <w:sz w:val="22"/>
        </w:rPr>
        <w:t>warranty</w:t>
      </w:r>
      <w:r>
        <w:rPr>
          <w:spacing w:val="-2"/>
          <w:w w:val="105"/>
          <w:sz w:val="22"/>
        </w:rPr>
        <w:t> </w:t>
      </w:r>
      <w:r>
        <w:rPr>
          <w:w w:val="105"/>
          <w:sz w:val="22"/>
        </w:rPr>
        <w:t>has</w:t>
      </w:r>
      <w:r>
        <w:rPr>
          <w:spacing w:val="-2"/>
          <w:w w:val="105"/>
          <w:sz w:val="22"/>
        </w:rPr>
        <w:t> </w:t>
      </w:r>
      <w:r>
        <w:rPr>
          <w:w w:val="105"/>
          <w:sz w:val="22"/>
        </w:rPr>
        <w:t>been</w:t>
      </w:r>
      <w:r>
        <w:rPr>
          <w:spacing w:val="-3"/>
          <w:w w:val="105"/>
          <w:sz w:val="22"/>
        </w:rPr>
        <w:t> </w:t>
      </w:r>
      <w:r>
        <w:rPr>
          <w:w w:val="105"/>
          <w:sz w:val="22"/>
        </w:rPr>
        <w:t>made,</w:t>
      </w:r>
      <w:r>
        <w:rPr>
          <w:spacing w:val="-1"/>
          <w:w w:val="105"/>
          <w:sz w:val="22"/>
        </w:rPr>
        <w:t> </w:t>
      </w:r>
      <w:r>
        <w:rPr>
          <w:w w:val="105"/>
          <w:sz w:val="22"/>
        </w:rPr>
        <w:t>by</w:t>
      </w:r>
      <w:r>
        <w:rPr>
          <w:spacing w:val="-1"/>
          <w:w w:val="105"/>
          <w:sz w:val="22"/>
        </w:rPr>
        <w:t> </w:t>
      </w:r>
      <w:r>
        <w:rPr>
          <w:w w:val="105"/>
          <w:sz w:val="22"/>
        </w:rPr>
        <w:t>any</w:t>
      </w:r>
      <w:r>
        <w:rPr>
          <w:spacing w:val="-1"/>
          <w:w w:val="105"/>
          <w:sz w:val="22"/>
        </w:rPr>
        <w:t> </w:t>
      </w:r>
      <w:r>
        <w:rPr>
          <w:w w:val="105"/>
          <w:sz w:val="22"/>
        </w:rPr>
        <w:t>other</w:t>
      </w:r>
      <w:r>
        <w:rPr>
          <w:spacing w:val="-4"/>
          <w:w w:val="105"/>
          <w:sz w:val="22"/>
        </w:rPr>
        <w:t> </w:t>
      </w:r>
      <w:r>
        <w:rPr>
          <w:w w:val="105"/>
          <w:sz w:val="22"/>
        </w:rPr>
        <w:t>Co-owner</w:t>
      </w:r>
      <w:r>
        <w:rPr>
          <w:spacing w:val="-4"/>
          <w:w w:val="105"/>
          <w:sz w:val="22"/>
        </w:rPr>
        <w:t> </w:t>
      </w:r>
      <w:r>
        <w:rPr>
          <w:w w:val="105"/>
          <w:sz w:val="22"/>
        </w:rPr>
        <w:t>in</w:t>
      </w:r>
      <w:r>
        <w:rPr>
          <w:spacing w:val="-3"/>
          <w:w w:val="105"/>
          <w:sz w:val="22"/>
        </w:rPr>
        <w:t> </w:t>
      </w:r>
      <w:r>
        <w:rPr>
          <w:w w:val="105"/>
          <w:sz w:val="22"/>
        </w:rPr>
        <w:t>respect</w:t>
      </w:r>
      <w:r>
        <w:rPr>
          <w:spacing w:val="-1"/>
          <w:w w:val="105"/>
          <w:sz w:val="22"/>
        </w:rPr>
        <w:t> </w:t>
      </w:r>
      <w:r>
        <w:rPr>
          <w:w w:val="105"/>
          <w:sz w:val="22"/>
        </w:rPr>
        <w:t>of</w:t>
      </w:r>
      <w:r>
        <w:rPr>
          <w:spacing w:val="-42"/>
          <w:w w:val="105"/>
          <w:sz w:val="22"/>
        </w:rPr>
        <w:t> </w:t>
      </w:r>
      <w:r>
        <w:rPr>
          <w:w w:val="105"/>
          <w:sz w:val="22"/>
        </w:rPr>
        <w:t>either:</w:t>
      </w:r>
    </w:p>
    <w:p>
      <w:pPr>
        <w:pStyle w:val="BodyText"/>
        <w:spacing w:before="10"/>
        <w:rPr>
          <w:sz w:val="21"/>
        </w:rPr>
      </w:pPr>
    </w:p>
    <w:p>
      <w:pPr>
        <w:pStyle w:val="ListParagraph"/>
        <w:numPr>
          <w:ilvl w:val="2"/>
          <w:numId w:val="1"/>
        </w:numPr>
        <w:tabs>
          <w:tab w:pos="1452" w:val="left" w:leader="none"/>
          <w:tab w:pos="1453" w:val="left" w:leader="none"/>
        </w:tabs>
        <w:spacing w:line="240" w:lineRule="auto" w:before="1" w:after="0"/>
        <w:ind w:left="1452" w:right="222" w:hanging="566"/>
        <w:jc w:val="left"/>
        <w:rPr>
          <w:sz w:val="22"/>
        </w:rPr>
      </w:pPr>
      <w:r>
        <w:rPr>
          <w:w w:val="105"/>
          <w:sz w:val="22"/>
        </w:rPr>
        <w:t>the soundness or racing </w:t>
      </w:r>
      <w:r>
        <w:rPr>
          <w:spacing w:val="-4"/>
          <w:w w:val="105"/>
          <w:sz w:val="22"/>
        </w:rPr>
        <w:t>ability </w:t>
      </w:r>
      <w:r>
        <w:rPr>
          <w:w w:val="105"/>
          <w:sz w:val="22"/>
        </w:rPr>
        <w:t>of the Horse, or the </w:t>
      </w:r>
      <w:r>
        <w:rPr>
          <w:spacing w:val="-5"/>
          <w:w w:val="105"/>
          <w:sz w:val="22"/>
        </w:rPr>
        <w:t>suitability </w:t>
      </w:r>
      <w:r>
        <w:rPr>
          <w:spacing w:val="-2"/>
          <w:w w:val="105"/>
          <w:sz w:val="22"/>
        </w:rPr>
        <w:t>now </w:t>
      </w:r>
      <w:r>
        <w:rPr>
          <w:w w:val="105"/>
          <w:sz w:val="22"/>
        </w:rPr>
        <w:t>or in </w:t>
      </w:r>
      <w:r>
        <w:rPr>
          <w:spacing w:val="-3"/>
          <w:w w:val="105"/>
          <w:sz w:val="22"/>
        </w:rPr>
        <w:t>the </w:t>
      </w:r>
      <w:r>
        <w:rPr>
          <w:spacing w:val="-4"/>
          <w:w w:val="105"/>
          <w:sz w:val="22"/>
        </w:rPr>
        <w:t>future  </w:t>
      </w:r>
      <w:r>
        <w:rPr>
          <w:w w:val="105"/>
          <w:sz w:val="22"/>
        </w:rPr>
        <w:t>of </w:t>
      </w:r>
      <w:r>
        <w:rPr>
          <w:spacing w:val="-3"/>
          <w:w w:val="105"/>
          <w:sz w:val="22"/>
        </w:rPr>
        <w:t>the </w:t>
      </w:r>
      <w:r>
        <w:rPr>
          <w:spacing w:val="-4"/>
          <w:w w:val="105"/>
          <w:sz w:val="22"/>
        </w:rPr>
        <w:t>Horse </w:t>
      </w:r>
      <w:r>
        <w:rPr>
          <w:spacing w:val="-3"/>
          <w:w w:val="105"/>
          <w:sz w:val="22"/>
        </w:rPr>
        <w:t>for </w:t>
      </w:r>
      <w:r>
        <w:rPr>
          <w:w w:val="105"/>
          <w:sz w:val="22"/>
        </w:rPr>
        <w:t>breeding or otherwise;</w:t>
      </w:r>
      <w:r>
        <w:rPr>
          <w:spacing w:val="-6"/>
          <w:w w:val="105"/>
          <w:sz w:val="22"/>
        </w:rPr>
        <w:t> </w:t>
      </w:r>
      <w:r>
        <w:rPr>
          <w:w w:val="105"/>
          <w:sz w:val="22"/>
        </w:rPr>
        <w:t>or</w:t>
      </w:r>
    </w:p>
    <w:p>
      <w:pPr>
        <w:spacing w:after="0" w:line="240" w:lineRule="auto"/>
        <w:jc w:val="left"/>
        <w:rPr>
          <w:sz w:val="22"/>
        </w:rPr>
        <w:sectPr>
          <w:pgSz w:w="11900" w:h="16860"/>
          <w:pgMar w:header="0" w:footer="761" w:top="1060" w:bottom="1020" w:left="900" w:right="980"/>
        </w:sectPr>
      </w:pPr>
    </w:p>
    <w:p>
      <w:pPr>
        <w:pStyle w:val="ListParagraph"/>
        <w:numPr>
          <w:ilvl w:val="2"/>
          <w:numId w:val="1"/>
        </w:numPr>
        <w:tabs>
          <w:tab w:pos="1452" w:val="left" w:leader="none"/>
          <w:tab w:pos="1453" w:val="left" w:leader="none"/>
        </w:tabs>
        <w:spacing w:line="240" w:lineRule="auto" w:before="69" w:after="0"/>
        <w:ind w:left="1452" w:right="220" w:hanging="566"/>
        <w:jc w:val="left"/>
        <w:rPr>
          <w:sz w:val="22"/>
        </w:rPr>
      </w:pPr>
      <w:r>
        <w:rPr>
          <w:w w:val="105"/>
          <w:sz w:val="22"/>
        </w:rPr>
        <w:t>the </w:t>
      </w:r>
      <w:r>
        <w:rPr>
          <w:spacing w:val="-5"/>
          <w:w w:val="105"/>
          <w:sz w:val="22"/>
        </w:rPr>
        <w:t>reliability </w:t>
      </w:r>
      <w:r>
        <w:rPr>
          <w:w w:val="105"/>
          <w:sz w:val="22"/>
        </w:rPr>
        <w:t>or adequacy of any insurance cover arranged on behalf of the Co-</w:t>
      </w:r>
      <w:r>
        <w:rPr>
          <w:spacing w:val="63"/>
          <w:w w:val="105"/>
          <w:sz w:val="22"/>
        </w:rPr>
        <w:t> </w:t>
      </w:r>
      <w:r>
        <w:rPr>
          <w:w w:val="105"/>
          <w:sz w:val="22"/>
        </w:rPr>
        <w:t>owners.</w:t>
      </w:r>
    </w:p>
    <w:p>
      <w:pPr>
        <w:pStyle w:val="BodyText"/>
        <w:spacing w:before="9"/>
        <w:rPr>
          <w:sz w:val="21"/>
        </w:rPr>
      </w:pPr>
    </w:p>
    <w:p>
      <w:pPr>
        <w:pStyle w:val="ListParagraph"/>
        <w:numPr>
          <w:ilvl w:val="1"/>
          <w:numId w:val="1"/>
        </w:numPr>
        <w:tabs>
          <w:tab w:pos="887" w:val="left" w:leader="none"/>
        </w:tabs>
        <w:spacing w:line="240" w:lineRule="auto" w:before="0" w:after="0"/>
        <w:ind w:left="886" w:right="347" w:hanging="567"/>
        <w:jc w:val="both"/>
        <w:rPr>
          <w:sz w:val="22"/>
        </w:rPr>
      </w:pPr>
      <w:r>
        <w:rPr>
          <w:w w:val="105"/>
          <w:sz w:val="22"/>
        </w:rPr>
        <w:t>All conditions and warranties implied into contracts at general law or pursuant to </w:t>
      </w:r>
      <w:r>
        <w:rPr>
          <w:spacing w:val="-3"/>
          <w:w w:val="105"/>
          <w:sz w:val="22"/>
        </w:rPr>
        <w:t>any </w:t>
      </w:r>
      <w:r>
        <w:rPr>
          <w:w w:val="105"/>
          <w:sz w:val="22"/>
        </w:rPr>
        <w:t>State, Territory or Federal legislation in respect of the supply of services are excluded to</w:t>
      </w:r>
      <w:r>
        <w:rPr>
          <w:spacing w:val="-12"/>
          <w:w w:val="105"/>
          <w:sz w:val="22"/>
        </w:rPr>
        <w:t> </w:t>
      </w:r>
      <w:r>
        <w:rPr>
          <w:w w:val="105"/>
          <w:sz w:val="22"/>
        </w:rPr>
        <w:t>the</w:t>
      </w:r>
      <w:r>
        <w:rPr>
          <w:spacing w:val="-17"/>
          <w:w w:val="105"/>
          <w:sz w:val="22"/>
        </w:rPr>
        <w:t> </w:t>
      </w:r>
      <w:r>
        <w:rPr>
          <w:w w:val="105"/>
          <w:sz w:val="22"/>
        </w:rPr>
        <w:t>maximum</w:t>
      </w:r>
      <w:r>
        <w:rPr>
          <w:spacing w:val="-11"/>
          <w:w w:val="105"/>
          <w:sz w:val="22"/>
        </w:rPr>
        <w:t> </w:t>
      </w:r>
      <w:r>
        <w:rPr>
          <w:w w:val="105"/>
          <w:sz w:val="22"/>
        </w:rPr>
        <w:t>extent</w:t>
      </w:r>
      <w:r>
        <w:rPr>
          <w:spacing w:val="-16"/>
          <w:w w:val="105"/>
          <w:sz w:val="22"/>
        </w:rPr>
        <w:t> </w:t>
      </w:r>
      <w:r>
        <w:rPr>
          <w:w w:val="105"/>
          <w:sz w:val="22"/>
        </w:rPr>
        <w:t>permitted</w:t>
      </w:r>
      <w:r>
        <w:rPr>
          <w:spacing w:val="-2"/>
          <w:w w:val="105"/>
          <w:sz w:val="22"/>
        </w:rPr>
        <w:t> </w:t>
      </w:r>
      <w:r>
        <w:rPr>
          <w:w w:val="105"/>
          <w:sz w:val="22"/>
        </w:rPr>
        <w:t>by</w:t>
      </w:r>
      <w:r>
        <w:rPr>
          <w:spacing w:val="-1"/>
          <w:w w:val="105"/>
          <w:sz w:val="22"/>
        </w:rPr>
        <w:t> </w:t>
      </w:r>
      <w:r>
        <w:rPr>
          <w:w w:val="105"/>
          <w:sz w:val="22"/>
        </w:rPr>
        <w:t>law.</w:t>
      </w:r>
    </w:p>
    <w:p>
      <w:pPr>
        <w:pStyle w:val="BodyText"/>
        <w:spacing w:before="1"/>
      </w:pPr>
    </w:p>
    <w:p>
      <w:pPr>
        <w:pStyle w:val="ListParagraph"/>
        <w:numPr>
          <w:ilvl w:val="1"/>
          <w:numId w:val="1"/>
        </w:numPr>
        <w:tabs>
          <w:tab w:pos="885" w:val="left" w:leader="none"/>
          <w:tab w:pos="887" w:val="left" w:leader="none"/>
        </w:tabs>
        <w:spacing w:line="240" w:lineRule="auto" w:before="0" w:after="0"/>
        <w:ind w:left="886" w:right="115" w:hanging="567"/>
        <w:jc w:val="left"/>
        <w:rPr>
          <w:sz w:val="22"/>
        </w:rPr>
      </w:pPr>
      <w:r>
        <w:rPr>
          <w:w w:val="105"/>
          <w:sz w:val="22"/>
        </w:rPr>
        <w:t>Each Co-owner shall not be liable, and agrees to hold each other Co-owner (including the Managing Owner)</w:t>
      </w:r>
      <w:r>
        <w:rPr>
          <w:spacing w:val="-5"/>
          <w:w w:val="105"/>
          <w:sz w:val="22"/>
        </w:rPr>
        <w:t> </w:t>
      </w:r>
      <w:r>
        <w:rPr>
          <w:w w:val="105"/>
          <w:sz w:val="22"/>
        </w:rPr>
        <w:t>harmless:</w:t>
      </w:r>
    </w:p>
    <w:p>
      <w:pPr>
        <w:pStyle w:val="BodyText"/>
        <w:spacing w:before="11"/>
        <w:rPr>
          <w:sz w:val="21"/>
        </w:rPr>
      </w:pPr>
    </w:p>
    <w:p>
      <w:pPr>
        <w:pStyle w:val="ListParagraph"/>
        <w:numPr>
          <w:ilvl w:val="2"/>
          <w:numId w:val="1"/>
        </w:numPr>
        <w:tabs>
          <w:tab w:pos="1453" w:val="left" w:leader="none"/>
        </w:tabs>
        <w:spacing w:line="240" w:lineRule="auto" w:before="0" w:after="0"/>
        <w:ind w:left="1452" w:right="350" w:hanging="566"/>
        <w:jc w:val="both"/>
        <w:rPr>
          <w:sz w:val="22"/>
        </w:rPr>
      </w:pPr>
      <w:r>
        <w:rPr>
          <w:w w:val="105"/>
          <w:sz w:val="22"/>
        </w:rPr>
        <w:t>for any loss, expense, liability, matter or thing incurred or suffered by them arising out of any injury to, or death of, the Horse, unless caused by the wilful</w:t>
      </w:r>
      <w:r>
        <w:rPr>
          <w:spacing w:val="63"/>
          <w:w w:val="105"/>
          <w:sz w:val="22"/>
        </w:rPr>
        <w:t> </w:t>
      </w:r>
      <w:r>
        <w:rPr>
          <w:w w:val="105"/>
          <w:sz w:val="22"/>
        </w:rPr>
        <w:t>misconduct of a Co-owner (including the Managing Owner);</w:t>
      </w:r>
      <w:r>
        <w:rPr>
          <w:spacing w:val="-36"/>
          <w:w w:val="105"/>
          <w:sz w:val="22"/>
        </w:rPr>
        <w:t> </w:t>
      </w:r>
      <w:r>
        <w:rPr>
          <w:w w:val="105"/>
          <w:sz w:val="22"/>
        </w:rPr>
        <w:t>and/or</w:t>
      </w:r>
    </w:p>
    <w:p>
      <w:pPr>
        <w:pStyle w:val="BodyText"/>
        <w:spacing w:before="8"/>
        <w:rPr>
          <w:sz w:val="21"/>
        </w:rPr>
      </w:pPr>
    </w:p>
    <w:p>
      <w:pPr>
        <w:pStyle w:val="ListParagraph"/>
        <w:numPr>
          <w:ilvl w:val="2"/>
          <w:numId w:val="1"/>
        </w:numPr>
        <w:tabs>
          <w:tab w:pos="1453" w:val="left" w:leader="none"/>
        </w:tabs>
        <w:spacing w:line="240" w:lineRule="auto" w:before="0" w:after="0"/>
        <w:ind w:left="1452" w:right="347" w:hanging="566"/>
        <w:jc w:val="both"/>
        <w:rPr>
          <w:sz w:val="22"/>
        </w:rPr>
      </w:pPr>
      <w:r>
        <w:rPr>
          <w:spacing w:val="1"/>
          <w:w w:val="105"/>
          <w:sz w:val="22"/>
        </w:rPr>
        <w:t>for </w:t>
      </w:r>
      <w:r>
        <w:rPr>
          <w:w w:val="105"/>
          <w:sz w:val="22"/>
        </w:rPr>
        <w:t>any </w:t>
      </w:r>
      <w:r>
        <w:rPr>
          <w:spacing w:val="2"/>
          <w:w w:val="105"/>
          <w:sz w:val="22"/>
        </w:rPr>
        <w:t>other </w:t>
      </w:r>
      <w:r>
        <w:rPr>
          <w:spacing w:val="1"/>
          <w:w w:val="105"/>
          <w:sz w:val="22"/>
        </w:rPr>
        <w:t>loss, expense, </w:t>
      </w:r>
      <w:r>
        <w:rPr>
          <w:spacing w:val="3"/>
          <w:w w:val="105"/>
          <w:sz w:val="22"/>
        </w:rPr>
        <w:t>liability, </w:t>
      </w:r>
      <w:r>
        <w:rPr>
          <w:spacing w:val="2"/>
          <w:w w:val="105"/>
          <w:sz w:val="22"/>
        </w:rPr>
        <w:t>matter </w:t>
      </w:r>
      <w:r>
        <w:rPr>
          <w:w w:val="105"/>
          <w:sz w:val="22"/>
        </w:rPr>
        <w:t>or </w:t>
      </w:r>
      <w:r>
        <w:rPr>
          <w:spacing w:val="2"/>
          <w:w w:val="105"/>
          <w:sz w:val="22"/>
        </w:rPr>
        <w:t>thing </w:t>
      </w:r>
      <w:r>
        <w:rPr>
          <w:spacing w:val="1"/>
          <w:w w:val="105"/>
          <w:sz w:val="22"/>
        </w:rPr>
        <w:t>incurred </w:t>
      </w:r>
      <w:r>
        <w:rPr>
          <w:w w:val="105"/>
          <w:sz w:val="22"/>
        </w:rPr>
        <w:t>or </w:t>
      </w:r>
      <w:r>
        <w:rPr>
          <w:spacing w:val="2"/>
          <w:w w:val="105"/>
          <w:sz w:val="22"/>
        </w:rPr>
        <w:t>suffered </w:t>
      </w:r>
      <w:r>
        <w:rPr>
          <w:w w:val="105"/>
          <w:sz w:val="22"/>
        </w:rPr>
        <w:t>by </w:t>
      </w:r>
      <w:r>
        <w:rPr>
          <w:spacing w:val="1"/>
          <w:w w:val="105"/>
          <w:sz w:val="22"/>
        </w:rPr>
        <w:t>them </w:t>
      </w:r>
      <w:r>
        <w:rPr>
          <w:spacing w:val="2"/>
          <w:w w:val="105"/>
          <w:sz w:val="22"/>
        </w:rPr>
        <w:t>relating </w:t>
      </w:r>
      <w:r>
        <w:rPr>
          <w:w w:val="105"/>
          <w:sz w:val="22"/>
        </w:rPr>
        <w:t>to the </w:t>
      </w:r>
      <w:r>
        <w:rPr>
          <w:spacing w:val="2"/>
          <w:w w:val="105"/>
          <w:sz w:val="22"/>
        </w:rPr>
        <w:t>management </w:t>
      </w:r>
      <w:r>
        <w:rPr>
          <w:w w:val="105"/>
          <w:sz w:val="22"/>
        </w:rPr>
        <w:t>or </w:t>
      </w:r>
      <w:r>
        <w:rPr>
          <w:spacing w:val="2"/>
          <w:w w:val="105"/>
          <w:sz w:val="22"/>
        </w:rPr>
        <w:t>operation </w:t>
      </w:r>
      <w:r>
        <w:rPr>
          <w:w w:val="105"/>
          <w:sz w:val="22"/>
        </w:rPr>
        <w:t>of the Horse </w:t>
      </w:r>
      <w:r>
        <w:rPr>
          <w:spacing w:val="2"/>
          <w:w w:val="105"/>
          <w:sz w:val="22"/>
        </w:rPr>
        <w:t>Ownership</w:t>
      </w:r>
      <w:r>
        <w:rPr>
          <w:spacing w:val="70"/>
          <w:w w:val="105"/>
          <w:sz w:val="22"/>
        </w:rPr>
        <w:t> </w:t>
      </w:r>
      <w:r>
        <w:rPr>
          <w:spacing w:val="2"/>
          <w:w w:val="105"/>
          <w:sz w:val="22"/>
        </w:rPr>
        <w:t>Venture </w:t>
      </w:r>
      <w:r>
        <w:rPr>
          <w:w w:val="105"/>
          <w:sz w:val="22"/>
        </w:rPr>
        <w:t>unless that loss is due to the </w:t>
      </w:r>
      <w:r>
        <w:rPr>
          <w:spacing w:val="2"/>
          <w:w w:val="105"/>
          <w:sz w:val="22"/>
        </w:rPr>
        <w:t>fraud, wilful misconduct, </w:t>
      </w:r>
      <w:r>
        <w:rPr>
          <w:w w:val="105"/>
          <w:sz w:val="22"/>
        </w:rPr>
        <w:t>or negligence of a Co-owner (including the Managing</w:t>
      </w:r>
      <w:r>
        <w:rPr>
          <w:spacing w:val="-28"/>
          <w:w w:val="105"/>
          <w:sz w:val="22"/>
        </w:rPr>
        <w:t> </w:t>
      </w:r>
      <w:r>
        <w:rPr>
          <w:w w:val="105"/>
          <w:sz w:val="22"/>
        </w:rPr>
        <w:t>Owner).</w:t>
      </w:r>
    </w:p>
    <w:p>
      <w:pPr>
        <w:pStyle w:val="BodyText"/>
      </w:pPr>
    </w:p>
    <w:p>
      <w:pPr>
        <w:pStyle w:val="BodyText"/>
        <w:ind w:left="907" w:right="348"/>
        <w:jc w:val="both"/>
      </w:pPr>
      <w:r>
        <w:rPr>
          <w:w w:val="105"/>
        </w:rPr>
        <w:t>Except as stated in this clause, under no circumstances will a Co-owner (including the Managing Owner) be liable for any indirect or consequential loss suffered by another Co-owner in respect of the matters referred to in this</w:t>
      </w:r>
      <w:r>
        <w:rPr>
          <w:spacing w:val="-19"/>
          <w:w w:val="105"/>
        </w:rPr>
        <w:t> </w:t>
      </w:r>
      <w:r>
        <w:rPr>
          <w:w w:val="105"/>
        </w:rPr>
        <w:t>clause.</w:t>
      </w:r>
    </w:p>
    <w:p>
      <w:pPr>
        <w:pStyle w:val="BodyText"/>
        <w:spacing w:before="8"/>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INSURANCE</w:t>
      </w:r>
    </w:p>
    <w:p>
      <w:pPr>
        <w:pStyle w:val="BodyText"/>
        <w:rPr>
          <w:b/>
        </w:rPr>
      </w:pPr>
    </w:p>
    <w:p>
      <w:pPr>
        <w:pStyle w:val="BodyText"/>
        <w:ind w:left="319" w:right="333"/>
        <w:jc w:val="both"/>
      </w:pPr>
      <w:r>
        <w:rPr>
          <w:w w:val="105"/>
        </w:rPr>
        <w:t>Unless separately agreed by all the Owners, insurance of the Horse (or the Owner’s  interest in the Horse) is a matter for each Owner. No Co-owner can be compelled to insure his or her Owner’s</w:t>
      </w:r>
      <w:r>
        <w:rPr>
          <w:spacing w:val="-14"/>
          <w:w w:val="105"/>
        </w:rPr>
        <w:t> </w:t>
      </w:r>
      <w:r>
        <w:rPr>
          <w:w w:val="105"/>
        </w:rPr>
        <w:t>Interest.</w:t>
      </w:r>
    </w:p>
    <w:p>
      <w:pPr>
        <w:pStyle w:val="BodyText"/>
        <w:spacing w:before="10"/>
        <w:rPr>
          <w:sz w:val="21"/>
        </w:rPr>
      </w:pPr>
    </w:p>
    <w:p>
      <w:pPr>
        <w:pStyle w:val="Heading2"/>
        <w:numPr>
          <w:ilvl w:val="0"/>
          <w:numId w:val="1"/>
        </w:numPr>
        <w:tabs>
          <w:tab w:pos="885" w:val="left" w:leader="none"/>
          <w:tab w:pos="887" w:val="left" w:leader="none"/>
        </w:tabs>
        <w:spacing w:line="240" w:lineRule="auto" w:before="0" w:after="0"/>
        <w:ind w:left="886" w:right="0" w:hanging="567"/>
        <w:jc w:val="left"/>
      </w:pPr>
      <w:r>
        <w:rPr>
          <w:w w:val="105"/>
        </w:rPr>
        <w:t>THE EFFECT OF OTHER AGREEMENTS, AND CLAUSES TO BE</w:t>
      </w:r>
      <w:r>
        <w:rPr>
          <w:spacing w:val="-29"/>
          <w:w w:val="105"/>
        </w:rPr>
        <w:t> </w:t>
      </w:r>
      <w:r>
        <w:rPr>
          <w:w w:val="105"/>
        </w:rPr>
        <w:t>SEVERABLE</w:t>
      </w:r>
    </w:p>
    <w:p>
      <w:pPr>
        <w:pStyle w:val="BodyText"/>
        <w:spacing w:before="3"/>
        <w:rPr>
          <w:b/>
        </w:rPr>
      </w:pPr>
    </w:p>
    <w:p>
      <w:pPr>
        <w:pStyle w:val="ListParagraph"/>
        <w:numPr>
          <w:ilvl w:val="1"/>
          <w:numId w:val="1"/>
        </w:numPr>
        <w:tabs>
          <w:tab w:pos="887" w:val="left" w:leader="none"/>
        </w:tabs>
        <w:spacing w:line="240" w:lineRule="auto" w:before="1" w:after="0"/>
        <w:ind w:left="886" w:right="326" w:hanging="567"/>
        <w:jc w:val="both"/>
        <w:rPr>
          <w:sz w:val="22"/>
        </w:rPr>
      </w:pPr>
      <w:r>
        <w:rPr>
          <w:sz w:val="22"/>
        </w:rPr>
        <w:t>The Co-owners can agree that an existing or new agreement between them in relation to the operation of the Horse Ownership Venture, or certain terms of it, apply in conjunction with or instead of this Agreement, provided</w:t>
      </w:r>
      <w:r>
        <w:rPr>
          <w:spacing w:val="-1"/>
          <w:sz w:val="22"/>
        </w:rPr>
        <w:t> </w:t>
      </w:r>
      <w:r>
        <w:rPr>
          <w:sz w:val="22"/>
        </w:rPr>
        <w:t>that:</w:t>
      </w:r>
    </w:p>
    <w:p>
      <w:pPr>
        <w:pStyle w:val="BodyText"/>
        <w:spacing w:before="7"/>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sz w:val="22"/>
        </w:rPr>
        <w:t>the other agreement is in</w:t>
      </w:r>
      <w:r>
        <w:rPr>
          <w:spacing w:val="-17"/>
          <w:sz w:val="22"/>
        </w:rPr>
        <w:t> </w:t>
      </w:r>
      <w:r>
        <w:rPr>
          <w:sz w:val="22"/>
        </w:rPr>
        <w:t>writing;</w:t>
      </w:r>
    </w:p>
    <w:p>
      <w:pPr>
        <w:pStyle w:val="BodyText"/>
      </w:pPr>
    </w:p>
    <w:p>
      <w:pPr>
        <w:pStyle w:val="ListParagraph"/>
        <w:numPr>
          <w:ilvl w:val="2"/>
          <w:numId w:val="1"/>
        </w:numPr>
        <w:tabs>
          <w:tab w:pos="1453" w:val="left" w:leader="none"/>
        </w:tabs>
        <w:spacing w:line="240" w:lineRule="auto" w:before="1" w:after="0"/>
        <w:ind w:left="1452" w:right="334" w:hanging="566"/>
        <w:jc w:val="both"/>
        <w:rPr>
          <w:sz w:val="22"/>
        </w:rPr>
      </w:pPr>
      <w:r>
        <w:rPr>
          <w:sz w:val="22"/>
        </w:rPr>
        <w:t>the parties agree in writing that the other agreement operates in conjunction with, or instead of, this</w:t>
      </w:r>
      <w:r>
        <w:rPr>
          <w:spacing w:val="-1"/>
          <w:sz w:val="22"/>
        </w:rPr>
        <w:t> </w:t>
      </w:r>
      <w:r>
        <w:rPr>
          <w:sz w:val="22"/>
        </w:rPr>
        <w:t>Agreement;</w:t>
      </w:r>
    </w:p>
    <w:p>
      <w:pPr>
        <w:pStyle w:val="BodyText"/>
        <w:spacing w:before="10"/>
        <w:rPr>
          <w:sz w:val="21"/>
        </w:rPr>
      </w:pPr>
    </w:p>
    <w:p>
      <w:pPr>
        <w:pStyle w:val="ListParagraph"/>
        <w:numPr>
          <w:ilvl w:val="2"/>
          <w:numId w:val="1"/>
        </w:numPr>
        <w:tabs>
          <w:tab w:pos="1453" w:val="left" w:leader="none"/>
        </w:tabs>
        <w:spacing w:line="240" w:lineRule="auto" w:before="0" w:after="0"/>
        <w:ind w:left="1452" w:right="340" w:hanging="566"/>
        <w:jc w:val="both"/>
        <w:rPr>
          <w:sz w:val="22"/>
        </w:rPr>
      </w:pPr>
      <w:r>
        <w:rPr>
          <w:sz w:val="22"/>
        </w:rPr>
        <w:t>none of the terms in the other agreement are in conflict or inconsistent with a Rule of Racing (including any of the TOR Rules);</w:t>
      </w:r>
      <w:r>
        <w:rPr>
          <w:spacing w:val="-14"/>
          <w:sz w:val="22"/>
        </w:rPr>
        <w:t> </w:t>
      </w:r>
      <w:r>
        <w:rPr>
          <w:sz w:val="22"/>
        </w:rPr>
        <w:t>and</w:t>
      </w:r>
    </w:p>
    <w:p>
      <w:pPr>
        <w:pStyle w:val="BodyText"/>
        <w:spacing w:before="2"/>
      </w:pPr>
    </w:p>
    <w:p>
      <w:pPr>
        <w:pStyle w:val="ListParagraph"/>
        <w:numPr>
          <w:ilvl w:val="2"/>
          <w:numId w:val="1"/>
        </w:numPr>
        <w:tabs>
          <w:tab w:pos="1453" w:val="left" w:leader="none"/>
        </w:tabs>
        <w:spacing w:line="240" w:lineRule="auto" w:before="0" w:after="0"/>
        <w:ind w:left="1452" w:right="328" w:hanging="566"/>
        <w:jc w:val="both"/>
        <w:rPr>
          <w:sz w:val="22"/>
        </w:rPr>
      </w:pPr>
      <w:r>
        <w:rPr>
          <w:sz w:val="22"/>
        </w:rPr>
        <w:t>if there is any conflict or inconsistency between the terms in the other agreement and the Rules of Racing (including the TOR Rules), the Rules of Racing (including the TOR Rules) apply to the extent of the conflict or</w:t>
      </w:r>
      <w:r>
        <w:rPr>
          <w:spacing w:val="-8"/>
          <w:sz w:val="22"/>
        </w:rPr>
        <w:t> </w:t>
      </w:r>
      <w:r>
        <w:rPr>
          <w:sz w:val="22"/>
        </w:rPr>
        <w:t>inconsistency.</w:t>
      </w:r>
    </w:p>
    <w:p>
      <w:pPr>
        <w:pStyle w:val="BodyText"/>
        <w:spacing w:before="8"/>
        <w:rPr>
          <w:sz w:val="21"/>
        </w:rPr>
      </w:pPr>
    </w:p>
    <w:p>
      <w:pPr>
        <w:pStyle w:val="ListParagraph"/>
        <w:numPr>
          <w:ilvl w:val="1"/>
          <w:numId w:val="1"/>
        </w:numPr>
        <w:tabs>
          <w:tab w:pos="887" w:val="left" w:leader="none"/>
        </w:tabs>
        <w:spacing w:line="240" w:lineRule="auto" w:before="1" w:after="0"/>
        <w:ind w:left="886" w:right="228" w:hanging="567"/>
        <w:jc w:val="both"/>
        <w:rPr>
          <w:sz w:val="22"/>
        </w:rPr>
      </w:pPr>
      <w:r>
        <w:rPr>
          <w:spacing w:val="-3"/>
          <w:sz w:val="22"/>
        </w:rPr>
        <w:t>Unless </w:t>
      </w:r>
      <w:r>
        <w:rPr>
          <w:spacing w:val="-4"/>
          <w:sz w:val="22"/>
        </w:rPr>
        <w:t>additional </w:t>
      </w:r>
      <w:r>
        <w:rPr>
          <w:sz w:val="22"/>
        </w:rPr>
        <w:t>terms are agreed </w:t>
      </w:r>
      <w:r>
        <w:rPr>
          <w:spacing w:val="-4"/>
          <w:sz w:val="22"/>
        </w:rPr>
        <w:t>between </w:t>
      </w:r>
      <w:r>
        <w:rPr>
          <w:sz w:val="22"/>
        </w:rPr>
        <w:t>the </w:t>
      </w:r>
      <w:r>
        <w:rPr>
          <w:spacing w:val="-4"/>
          <w:sz w:val="22"/>
        </w:rPr>
        <w:t>Co-owners </w:t>
      </w:r>
      <w:r>
        <w:rPr>
          <w:sz w:val="22"/>
        </w:rPr>
        <w:t>in </w:t>
      </w:r>
      <w:r>
        <w:rPr>
          <w:spacing w:val="-4"/>
          <w:sz w:val="22"/>
        </w:rPr>
        <w:t>writing pursuant </w:t>
      </w:r>
      <w:r>
        <w:rPr>
          <w:sz w:val="22"/>
        </w:rPr>
        <w:t>to </w:t>
      </w:r>
      <w:r>
        <w:rPr>
          <w:spacing w:val="-4"/>
          <w:sz w:val="22"/>
        </w:rPr>
        <w:t>clause </w:t>
      </w:r>
      <w:r>
        <w:rPr>
          <w:sz w:val="22"/>
        </w:rPr>
        <w:t>9.1, </w:t>
      </w:r>
      <w:r>
        <w:rPr>
          <w:spacing w:val="-3"/>
          <w:sz w:val="22"/>
        </w:rPr>
        <w:t>this </w:t>
      </w:r>
      <w:r>
        <w:rPr>
          <w:spacing w:val="-4"/>
          <w:sz w:val="22"/>
        </w:rPr>
        <w:t>Agreement (together </w:t>
      </w:r>
      <w:r>
        <w:rPr>
          <w:spacing w:val="-3"/>
          <w:sz w:val="22"/>
        </w:rPr>
        <w:t>with </w:t>
      </w:r>
      <w:r>
        <w:rPr>
          <w:sz w:val="22"/>
        </w:rPr>
        <w:t>any </w:t>
      </w:r>
      <w:r>
        <w:rPr>
          <w:spacing w:val="-4"/>
          <w:sz w:val="22"/>
        </w:rPr>
        <w:t>valid amendments </w:t>
      </w:r>
      <w:r>
        <w:rPr>
          <w:sz w:val="22"/>
        </w:rPr>
        <w:t>to it made </w:t>
      </w:r>
      <w:r>
        <w:rPr>
          <w:spacing w:val="-4"/>
          <w:sz w:val="22"/>
        </w:rPr>
        <w:t>pursuant </w:t>
      </w:r>
      <w:r>
        <w:rPr>
          <w:sz w:val="22"/>
        </w:rPr>
        <w:t>to </w:t>
      </w:r>
      <w:r>
        <w:rPr>
          <w:spacing w:val="-4"/>
          <w:sz w:val="22"/>
        </w:rPr>
        <w:t>clause </w:t>
      </w:r>
      <w:r>
        <w:rPr>
          <w:sz w:val="22"/>
        </w:rPr>
        <w:t>1.3), </w:t>
      </w:r>
      <w:r>
        <w:rPr>
          <w:spacing w:val="-4"/>
          <w:sz w:val="22"/>
        </w:rPr>
        <w:t>constitutes </w:t>
      </w:r>
      <w:r>
        <w:rPr>
          <w:sz w:val="22"/>
        </w:rPr>
        <w:t>the </w:t>
      </w:r>
      <w:r>
        <w:rPr>
          <w:spacing w:val="-4"/>
          <w:sz w:val="22"/>
        </w:rPr>
        <w:t>entire agreement between </w:t>
      </w:r>
      <w:r>
        <w:rPr>
          <w:sz w:val="22"/>
        </w:rPr>
        <w:t>the </w:t>
      </w:r>
      <w:r>
        <w:rPr>
          <w:spacing w:val="-4"/>
          <w:sz w:val="22"/>
        </w:rPr>
        <w:t>Co-owners concerning </w:t>
      </w:r>
      <w:r>
        <w:rPr>
          <w:spacing w:val="-2"/>
          <w:sz w:val="22"/>
        </w:rPr>
        <w:t>its </w:t>
      </w:r>
      <w:r>
        <w:rPr>
          <w:spacing w:val="-4"/>
          <w:sz w:val="22"/>
        </w:rPr>
        <w:t>subject</w:t>
      </w:r>
      <w:r>
        <w:rPr>
          <w:spacing w:val="43"/>
          <w:sz w:val="22"/>
        </w:rPr>
        <w:t> </w:t>
      </w:r>
      <w:r>
        <w:rPr>
          <w:spacing w:val="-4"/>
          <w:sz w:val="22"/>
        </w:rPr>
        <w:t>matter.</w:t>
      </w:r>
    </w:p>
    <w:p>
      <w:pPr>
        <w:pStyle w:val="BodyText"/>
        <w:spacing w:before="9"/>
        <w:rPr>
          <w:sz w:val="21"/>
        </w:rPr>
      </w:pPr>
    </w:p>
    <w:p>
      <w:pPr>
        <w:pStyle w:val="ListParagraph"/>
        <w:numPr>
          <w:ilvl w:val="1"/>
          <w:numId w:val="1"/>
        </w:numPr>
        <w:tabs>
          <w:tab w:pos="887" w:val="left" w:leader="none"/>
        </w:tabs>
        <w:spacing w:line="240" w:lineRule="auto" w:before="1" w:after="0"/>
        <w:ind w:left="886" w:right="224" w:hanging="567"/>
        <w:jc w:val="both"/>
        <w:rPr>
          <w:sz w:val="22"/>
        </w:rPr>
      </w:pPr>
      <w:r>
        <w:rPr>
          <w:sz w:val="22"/>
        </w:rPr>
        <w:t>If any </w:t>
      </w:r>
      <w:r>
        <w:rPr>
          <w:spacing w:val="-4"/>
          <w:sz w:val="22"/>
        </w:rPr>
        <w:t>clause </w:t>
      </w:r>
      <w:r>
        <w:rPr>
          <w:sz w:val="22"/>
        </w:rPr>
        <w:t>or </w:t>
      </w:r>
      <w:r>
        <w:rPr>
          <w:spacing w:val="-4"/>
          <w:sz w:val="22"/>
        </w:rPr>
        <w:t>provision </w:t>
      </w:r>
      <w:r>
        <w:rPr>
          <w:sz w:val="22"/>
        </w:rPr>
        <w:t>of </w:t>
      </w:r>
      <w:r>
        <w:rPr>
          <w:spacing w:val="-3"/>
          <w:sz w:val="22"/>
        </w:rPr>
        <w:t>this </w:t>
      </w:r>
      <w:r>
        <w:rPr>
          <w:spacing w:val="-4"/>
          <w:sz w:val="22"/>
        </w:rPr>
        <w:t>Agreement </w:t>
      </w:r>
      <w:r>
        <w:rPr>
          <w:sz w:val="22"/>
        </w:rPr>
        <w:t>is </w:t>
      </w:r>
      <w:r>
        <w:rPr>
          <w:spacing w:val="-3"/>
          <w:sz w:val="22"/>
        </w:rPr>
        <w:t>found </w:t>
      </w:r>
      <w:r>
        <w:rPr>
          <w:sz w:val="22"/>
        </w:rPr>
        <w:t>to be </w:t>
      </w:r>
      <w:r>
        <w:rPr>
          <w:spacing w:val="-4"/>
          <w:sz w:val="22"/>
        </w:rPr>
        <w:t>invalid </w:t>
      </w:r>
      <w:r>
        <w:rPr>
          <w:sz w:val="22"/>
        </w:rPr>
        <w:t>or </w:t>
      </w:r>
      <w:r>
        <w:rPr>
          <w:spacing w:val="-4"/>
          <w:sz w:val="22"/>
        </w:rPr>
        <w:t>unenforceable </w:t>
      </w:r>
      <w:r>
        <w:rPr>
          <w:sz w:val="22"/>
        </w:rPr>
        <w:t>by a </w:t>
      </w:r>
      <w:r>
        <w:rPr>
          <w:spacing w:val="-4"/>
          <w:sz w:val="22"/>
        </w:rPr>
        <w:t>court, </w:t>
      </w:r>
      <w:r>
        <w:rPr>
          <w:sz w:val="22"/>
        </w:rPr>
        <w:t>that </w:t>
      </w:r>
      <w:r>
        <w:rPr>
          <w:spacing w:val="-4"/>
          <w:sz w:val="22"/>
        </w:rPr>
        <w:t>invalidity </w:t>
      </w:r>
      <w:r>
        <w:rPr>
          <w:sz w:val="22"/>
        </w:rPr>
        <w:t>or </w:t>
      </w:r>
      <w:r>
        <w:rPr>
          <w:spacing w:val="-4"/>
          <w:sz w:val="22"/>
        </w:rPr>
        <w:t>unenforceability will </w:t>
      </w:r>
      <w:r>
        <w:rPr>
          <w:sz w:val="22"/>
        </w:rPr>
        <w:t>not affect </w:t>
      </w:r>
      <w:r>
        <w:rPr>
          <w:spacing w:val="-3"/>
          <w:sz w:val="22"/>
        </w:rPr>
        <w:t>the </w:t>
      </w:r>
      <w:r>
        <w:rPr>
          <w:spacing w:val="-4"/>
          <w:sz w:val="22"/>
        </w:rPr>
        <w:t>remainder </w:t>
      </w:r>
      <w:r>
        <w:rPr>
          <w:sz w:val="22"/>
        </w:rPr>
        <w:t>of </w:t>
      </w:r>
      <w:r>
        <w:rPr>
          <w:spacing w:val="-3"/>
          <w:sz w:val="22"/>
        </w:rPr>
        <w:t>this </w:t>
      </w:r>
      <w:r>
        <w:rPr>
          <w:sz w:val="22"/>
        </w:rPr>
        <w:t>Agreement, </w:t>
      </w:r>
      <w:r>
        <w:rPr>
          <w:spacing w:val="-4"/>
          <w:sz w:val="22"/>
        </w:rPr>
        <w:t>which </w:t>
      </w:r>
      <w:r>
        <w:rPr>
          <w:sz w:val="22"/>
        </w:rPr>
        <w:t>will </w:t>
      </w:r>
      <w:r>
        <w:rPr>
          <w:spacing w:val="-3"/>
          <w:sz w:val="22"/>
        </w:rPr>
        <w:t>continue with </w:t>
      </w:r>
      <w:r>
        <w:rPr>
          <w:sz w:val="22"/>
        </w:rPr>
        <w:t>full force </w:t>
      </w:r>
      <w:r>
        <w:rPr>
          <w:spacing w:val="-4"/>
          <w:sz w:val="22"/>
        </w:rPr>
        <w:t>and</w:t>
      </w:r>
      <w:r>
        <w:rPr>
          <w:spacing w:val="-26"/>
          <w:sz w:val="22"/>
        </w:rPr>
        <w:t> </w:t>
      </w:r>
      <w:r>
        <w:rPr>
          <w:spacing w:val="-4"/>
          <w:sz w:val="22"/>
        </w:rPr>
        <w:t>effect.</w:t>
      </w:r>
    </w:p>
    <w:p>
      <w:pPr>
        <w:pStyle w:val="BodyText"/>
        <w:spacing w:before="4"/>
        <w:rPr>
          <w:sz w:val="21"/>
        </w:rPr>
      </w:pPr>
    </w:p>
    <w:p>
      <w:pPr>
        <w:pStyle w:val="Heading2"/>
        <w:numPr>
          <w:ilvl w:val="0"/>
          <w:numId w:val="1"/>
        </w:numPr>
        <w:tabs>
          <w:tab w:pos="885" w:val="left" w:leader="none"/>
          <w:tab w:pos="887" w:val="left" w:leader="none"/>
        </w:tabs>
        <w:spacing w:line="240" w:lineRule="auto" w:before="1" w:after="0"/>
        <w:ind w:left="886" w:right="0" w:hanging="567"/>
        <w:jc w:val="left"/>
      </w:pPr>
      <w:r>
        <w:rPr>
          <w:w w:val="105"/>
        </w:rPr>
        <w:t>NOTICES</w:t>
      </w:r>
    </w:p>
    <w:p>
      <w:pPr>
        <w:pStyle w:val="BodyText"/>
        <w:spacing w:before="2"/>
        <w:rPr>
          <w:b/>
        </w:rPr>
      </w:pPr>
    </w:p>
    <w:p>
      <w:pPr>
        <w:pStyle w:val="ListParagraph"/>
        <w:numPr>
          <w:ilvl w:val="1"/>
          <w:numId w:val="1"/>
        </w:numPr>
        <w:tabs>
          <w:tab w:pos="887" w:val="left" w:leader="none"/>
        </w:tabs>
        <w:spacing w:line="240" w:lineRule="auto" w:before="0" w:after="0"/>
        <w:ind w:left="886" w:right="0" w:hanging="567"/>
        <w:jc w:val="left"/>
        <w:rPr>
          <w:sz w:val="22"/>
        </w:rPr>
      </w:pPr>
      <w:r>
        <w:rPr>
          <w:w w:val="105"/>
          <w:sz w:val="22"/>
        </w:rPr>
        <w:t>Notices</w:t>
      </w:r>
      <w:r>
        <w:rPr>
          <w:spacing w:val="-2"/>
          <w:w w:val="105"/>
          <w:sz w:val="22"/>
        </w:rPr>
        <w:t> </w:t>
      </w:r>
      <w:r>
        <w:rPr>
          <w:w w:val="105"/>
          <w:sz w:val="22"/>
        </w:rPr>
        <w:t>provided</w:t>
      </w:r>
      <w:r>
        <w:rPr>
          <w:spacing w:val="-3"/>
          <w:w w:val="105"/>
          <w:sz w:val="22"/>
        </w:rPr>
        <w:t> </w:t>
      </w:r>
      <w:r>
        <w:rPr>
          <w:w w:val="105"/>
          <w:sz w:val="22"/>
        </w:rPr>
        <w:t>for</w:t>
      </w:r>
      <w:r>
        <w:rPr>
          <w:spacing w:val="-4"/>
          <w:w w:val="105"/>
          <w:sz w:val="22"/>
        </w:rPr>
        <w:t> </w:t>
      </w:r>
      <w:r>
        <w:rPr>
          <w:w w:val="105"/>
          <w:sz w:val="22"/>
        </w:rPr>
        <w:t>or</w:t>
      </w:r>
      <w:r>
        <w:rPr>
          <w:spacing w:val="-4"/>
          <w:w w:val="105"/>
          <w:sz w:val="22"/>
        </w:rPr>
        <w:t> </w:t>
      </w:r>
      <w:r>
        <w:rPr>
          <w:w w:val="105"/>
          <w:sz w:val="22"/>
        </w:rPr>
        <w:t>required</w:t>
      </w:r>
      <w:r>
        <w:rPr>
          <w:spacing w:val="-3"/>
          <w:w w:val="105"/>
          <w:sz w:val="22"/>
        </w:rPr>
        <w:t> </w:t>
      </w:r>
      <w:r>
        <w:rPr>
          <w:w w:val="105"/>
          <w:sz w:val="22"/>
        </w:rPr>
        <w:t>by</w:t>
      </w:r>
      <w:r>
        <w:rPr>
          <w:spacing w:val="-1"/>
          <w:w w:val="105"/>
          <w:sz w:val="22"/>
        </w:rPr>
        <w:t> </w:t>
      </w:r>
      <w:r>
        <w:rPr>
          <w:w w:val="105"/>
          <w:sz w:val="22"/>
        </w:rPr>
        <w:t>this</w:t>
      </w:r>
      <w:r>
        <w:rPr>
          <w:spacing w:val="-2"/>
          <w:w w:val="105"/>
          <w:sz w:val="22"/>
        </w:rPr>
        <w:t> </w:t>
      </w:r>
      <w:r>
        <w:rPr>
          <w:w w:val="105"/>
          <w:sz w:val="22"/>
        </w:rPr>
        <w:t>Agreement</w:t>
      </w:r>
      <w:r>
        <w:rPr>
          <w:spacing w:val="-3"/>
          <w:w w:val="105"/>
          <w:sz w:val="22"/>
        </w:rPr>
        <w:t> </w:t>
      </w:r>
      <w:r>
        <w:rPr>
          <w:w w:val="105"/>
          <w:sz w:val="22"/>
        </w:rPr>
        <w:t>can</w:t>
      </w:r>
      <w:r>
        <w:rPr>
          <w:spacing w:val="-3"/>
          <w:w w:val="105"/>
          <w:sz w:val="22"/>
        </w:rPr>
        <w:t> </w:t>
      </w:r>
      <w:r>
        <w:rPr>
          <w:w w:val="105"/>
          <w:sz w:val="22"/>
        </w:rPr>
        <w:t>be</w:t>
      </w:r>
      <w:r>
        <w:rPr>
          <w:spacing w:val="-5"/>
          <w:w w:val="105"/>
          <w:sz w:val="22"/>
        </w:rPr>
        <w:t> </w:t>
      </w:r>
      <w:r>
        <w:rPr>
          <w:w w:val="105"/>
          <w:sz w:val="22"/>
        </w:rPr>
        <w:t>served</w:t>
      </w:r>
      <w:r>
        <w:rPr>
          <w:spacing w:val="-3"/>
          <w:w w:val="105"/>
          <w:sz w:val="22"/>
        </w:rPr>
        <w:t> </w:t>
      </w:r>
      <w:r>
        <w:rPr>
          <w:w w:val="105"/>
          <w:sz w:val="22"/>
        </w:rPr>
        <w:t>on</w:t>
      </w:r>
      <w:r>
        <w:rPr>
          <w:spacing w:val="-3"/>
          <w:w w:val="105"/>
          <w:sz w:val="22"/>
        </w:rPr>
        <w:t> </w:t>
      </w:r>
      <w:r>
        <w:rPr>
          <w:w w:val="105"/>
          <w:sz w:val="22"/>
        </w:rPr>
        <w:t>each</w:t>
      </w:r>
      <w:r>
        <w:rPr>
          <w:spacing w:val="-23"/>
          <w:w w:val="105"/>
          <w:sz w:val="22"/>
        </w:rPr>
        <w:t> </w:t>
      </w:r>
      <w:r>
        <w:rPr>
          <w:w w:val="105"/>
          <w:sz w:val="22"/>
        </w:rPr>
        <w:t>Co-owner:</w:t>
      </w:r>
    </w:p>
    <w:p>
      <w:pPr>
        <w:spacing w:after="0" w:line="240" w:lineRule="auto"/>
        <w:jc w:val="left"/>
        <w:rPr>
          <w:sz w:val="22"/>
        </w:rPr>
        <w:sectPr>
          <w:pgSz w:w="11900" w:h="16860"/>
          <w:pgMar w:header="0" w:footer="761" w:top="1060" w:bottom="960" w:left="900" w:right="980"/>
        </w:sectPr>
      </w:pPr>
    </w:p>
    <w:p>
      <w:pPr>
        <w:pStyle w:val="ListParagraph"/>
        <w:numPr>
          <w:ilvl w:val="2"/>
          <w:numId w:val="1"/>
        </w:numPr>
        <w:tabs>
          <w:tab w:pos="1452" w:val="left" w:leader="none"/>
          <w:tab w:pos="1453" w:val="left" w:leader="none"/>
        </w:tabs>
        <w:spacing w:line="240" w:lineRule="auto" w:before="81" w:after="0"/>
        <w:ind w:left="1452" w:right="331" w:hanging="566"/>
        <w:jc w:val="left"/>
        <w:rPr>
          <w:sz w:val="22"/>
        </w:rPr>
      </w:pPr>
      <w:r>
        <w:rPr>
          <w:w w:val="105"/>
          <w:sz w:val="22"/>
        </w:rPr>
        <w:t>at the address (electronic (including email) or otherwise) last provided by the</w:t>
      </w:r>
      <w:r>
        <w:rPr>
          <w:spacing w:val="63"/>
          <w:w w:val="105"/>
          <w:sz w:val="22"/>
        </w:rPr>
        <w:t> </w:t>
      </w:r>
      <w:r>
        <w:rPr>
          <w:w w:val="105"/>
          <w:sz w:val="22"/>
        </w:rPr>
        <w:t>relevant Co-owner to the Managing Owner;</w:t>
      </w:r>
      <w:r>
        <w:rPr>
          <w:spacing w:val="-38"/>
          <w:w w:val="105"/>
          <w:sz w:val="22"/>
        </w:rPr>
        <w:t> </w:t>
      </w:r>
      <w:r>
        <w:rPr>
          <w:w w:val="105"/>
          <w:sz w:val="22"/>
        </w:rPr>
        <w:t>or</w:t>
      </w:r>
    </w:p>
    <w:p>
      <w:pPr>
        <w:pStyle w:val="BodyText"/>
      </w:pPr>
    </w:p>
    <w:p>
      <w:pPr>
        <w:pStyle w:val="ListParagraph"/>
        <w:numPr>
          <w:ilvl w:val="2"/>
          <w:numId w:val="1"/>
        </w:numPr>
        <w:tabs>
          <w:tab w:pos="1452" w:val="left" w:leader="none"/>
          <w:tab w:pos="1453" w:val="left" w:leader="none"/>
        </w:tabs>
        <w:spacing w:line="240" w:lineRule="auto" w:before="0" w:after="0"/>
        <w:ind w:left="1452" w:right="335" w:hanging="566"/>
        <w:jc w:val="left"/>
        <w:rPr>
          <w:sz w:val="22"/>
        </w:rPr>
      </w:pPr>
      <w:r>
        <w:rPr>
          <w:w w:val="105"/>
          <w:sz w:val="22"/>
        </w:rPr>
        <w:t>at the address of the Co-owner most recently recorded in the records of Racing Australia;</w:t>
      </w:r>
      <w:r>
        <w:rPr>
          <w:spacing w:val="-5"/>
          <w:w w:val="105"/>
          <w:sz w:val="22"/>
        </w:rPr>
        <w:t> </w:t>
      </w:r>
      <w:r>
        <w:rPr>
          <w:w w:val="105"/>
          <w:sz w:val="22"/>
        </w:rPr>
        <w:t>or</w:t>
      </w:r>
    </w:p>
    <w:p>
      <w:pPr>
        <w:pStyle w:val="BodyText"/>
        <w:spacing w:before="11"/>
        <w:rPr>
          <w:sz w:val="21"/>
        </w:rPr>
      </w:pPr>
    </w:p>
    <w:p>
      <w:pPr>
        <w:pStyle w:val="ListParagraph"/>
        <w:numPr>
          <w:ilvl w:val="2"/>
          <w:numId w:val="1"/>
        </w:numPr>
        <w:tabs>
          <w:tab w:pos="1452" w:val="left" w:leader="none"/>
          <w:tab w:pos="1453" w:val="left" w:leader="none"/>
        </w:tabs>
        <w:spacing w:line="240" w:lineRule="auto" w:before="0" w:after="0"/>
        <w:ind w:left="1452" w:right="322" w:hanging="566"/>
        <w:jc w:val="left"/>
        <w:rPr>
          <w:sz w:val="22"/>
        </w:rPr>
      </w:pPr>
      <w:r>
        <w:rPr>
          <w:sz w:val="22"/>
        </w:rPr>
        <w:t>at the address </w:t>
      </w:r>
      <w:r>
        <w:rPr>
          <w:spacing w:val="-3"/>
          <w:sz w:val="22"/>
        </w:rPr>
        <w:t>of </w:t>
      </w:r>
      <w:r>
        <w:rPr>
          <w:sz w:val="22"/>
        </w:rPr>
        <w:t>the </w:t>
      </w:r>
      <w:r>
        <w:rPr>
          <w:spacing w:val="-4"/>
          <w:sz w:val="22"/>
        </w:rPr>
        <w:t>Co-owner recorded </w:t>
      </w:r>
      <w:r>
        <w:rPr>
          <w:sz w:val="22"/>
        </w:rPr>
        <w:t>on the </w:t>
      </w:r>
      <w:r>
        <w:rPr>
          <w:spacing w:val="-4"/>
          <w:sz w:val="22"/>
        </w:rPr>
        <w:t>relevant current Racing Australia registration </w:t>
      </w:r>
      <w:r>
        <w:rPr>
          <w:sz w:val="22"/>
        </w:rPr>
        <w:t>form in respect of the</w:t>
      </w:r>
      <w:r>
        <w:rPr>
          <w:spacing w:val="-3"/>
          <w:sz w:val="22"/>
        </w:rPr>
        <w:t> </w:t>
      </w:r>
      <w:r>
        <w:rPr>
          <w:sz w:val="22"/>
        </w:rPr>
        <w:t>Horse.</w:t>
      </w:r>
    </w:p>
    <w:p>
      <w:pPr>
        <w:pStyle w:val="BodyText"/>
        <w:spacing w:before="11"/>
        <w:rPr>
          <w:sz w:val="21"/>
        </w:rPr>
      </w:pPr>
    </w:p>
    <w:p>
      <w:pPr>
        <w:pStyle w:val="ListParagraph"/>
        <w:numPr>
          <w:ilvl w:val="1"/>
          <w:numId w:val="1"/>
        </w:numPr>
        <w:tabs>
          <w:tab w:pos="887" w:val="left" w:leader="none"/>
        </w:tabs>
        <w:spacing w:line="240" w:lineRule="auto" w:before="0" w:after="0"/>
        <w:ind w:left="886" w:right="227" w:hanging="567"/>
        <w:jc w:val="left"/>
        <w:rPr>
          <w:sz w:val="22"/>
        </w:rPr>
      </w:pPr>
      <w:r>
        <w:rPr>
          <w:w w:val="105"/>
          <w:sz w:val="22"/>
        </w:rPr>
        <w:t>Unless established </w:t>
      </w:r>
      <w:r>
        <w:rPr>
          <w:spacing w:val="-4"/>
          <w:w w:val="105"/>
          <w:sz w:val="22"/>
        </w:rPr>
        <w:t>by </w:t>
      </w:r>
      <w:r>
        <w:rPr>
          <w:spacing w:val="-6"/>
          <w:w w:val="105"/>
          <w:sz w:val="22"/>
        </w:rPr>
        <w:t>evidence</w:t>
      </w:r>
      <w:r>
        <w:rPr>
          <w:spacing w:val="51"/>
          <w:w w:val="105"/>
          <w:sz w:val="22"/>
        </w:rPr>
        <w:t> </w:t>
      </w:r>
      <w:r>
        <w:rPr>
          <w:w w:val="105"/>
          <w:sz w:val="22"/>
        </w:rPr>
        <w:t>to the contrary, notice is </w:t>
      </w:r>
      <w:r>
        <w:rPr>
          <w:spacing w:val="-6"/>
          <w:w w:val="105"/>
          <w:sz w:val="22"/>
        </w:rPr>
        <w:t>deemed</w:t>
      </w:r>
      <w:r>
        <w:rPr>
          <w:spacing w:val="51"/>
          <w:w w:val="105"/>
          <w:sz w:val="22"/>
        </w:rPr>
        <w:t> </w:t>
      </w:r>
      <w:r>
        <w:rPr>
          <w:w w:val="105"/>
          <w:sz w:val="22"/>
        </w:rPr>
        <w:t>to have been received:</w:t>
      </w:r>
    </w:p>
    <w:p>
      <w:pPr>
        <w:pStyle w:val="BodyText"/>
        <w:spacing w:before="11"/>
        <w:rPr>
          <w:sz w:val="21"/>
        </w:rPr>
      </w:pPr>
    </w:p>
    <w:p>
      <w:pPr>
        <w:pStyle w:val="ListParagraph"/>
        <w:numPr>
          <w:ilvl w:val="2"/>
          <w:numId w:val="1"/>
        </w:numPr>
        <w:tabs>
          <w:tab w:pos="1452" w:val="left" w:leader="none"/>
          <w:tab w:pos="1453" w:val="left" w:leader="none"/>
        </w:tabs>
        <w:spacing w:line="240" w:lineRule="auto" w:before="0" w:after="0"/>
        <w:ind w:left="1452" w:right="0" w:hanging="566"/>
        <w:jc w:val="left"/>
        <w:rPr>
          <w:sz w:val="22"/>
        </w:rPr>
      </w:pPr>
      <w:r>
        <w:rPr>
          <w:w w:val="105"/>
          <w:sz w:val="22"/>
        </w:rPr>
        <w:t>on the fourth business day after the date on which it was sent by registered</w:t>
      </w:r>
      <w:r>
        <w:rPr>
          <w:spacing w:val="-37"/>
          <w:w w:val="105"/>
          <w:sz w:val="22"/>
        </w:rPr>
        <w:t> </w:t>
      </w:r>
      <w:r>
        <w:rPr>
          <w:w w:val="105"/>
          <w:sz w:val="22"/>
        </w:rPr>
        <w:t>post;</w:t>
      </w:r>
    </w:p>
    <w:p>
      <w:pPr>
        <w:pStyle w:val="BodyText"/>
      </w:pPr>
    </w:p>
    <w:p>
      <w:pPr>
        <w:pStyle w:val="ListParagraph"/>
        <w:numPr>
          <w:ilvl w:val="2"/>
          <w:numId w:val="1"/>
        </w:numPr>
        <w:tabs>
          <w:tab w:pos="1452" w:val="left" w:leader="none"/>
          <w:tab w:pos="1453" w:val="left" w:leader="none"/>
        </w:tabs>
        <w:spacing w:line="240" w:lineRule="auto" w:before="1" w:after="0"/>
        <w:ind w:left="1452" w:right="339" w:hanging="566"/>
        <w:jc w:val="left"/>
        <w:rPr>
          <w:sz w:val="22"/>
        </w:rPr>
      </w:pPr>
      <w:r>
        <w:rPr>
          <w:w w:val="105"/>
          <w:sz w:val="22"/>
        </w:rPr>
        <w:t>on the day and at the time that it appears from the record of email  communication that the sending of an email concluded;</w:t>
      </w:r>
      <w:r>
        <w:rPr>
          <w:spacing w:val="5"/>
          <w:w w:val="105"/>
          <w:sz w:val="22"/>
        </w:rPr>
        <w:t> </w:t>
      </w:r>
      <w:r>
        <w:rPr>
          <w:w w:val="105"/>
          <w:sz w:val="22"/>
        </w:rPr>
        <w:t>and</w:t>
      </w:r>
    </w:p>
    <w:p>
      <w:pPr>
        <w:pStyle w:val="BodyText"/>
        <w:spacing w:before="9"/>
        <w:rPr>
          <w:sz w:val="21"/>
        </w:rPr>
      </w:pPr>
    </w:p>
    <w:p>
      <w:pPr>
        <w:pStyle w:val="ListParagraph"/>
        <w:numPr>
          <w:ilvl w:val="2"/>
          <w:numId w:val="1"/>
        </w:numPr>
        <w:tabs>
          <w:tab w:pos="1452" w:val="left" w:leader="none"/>
          <w:tab w:pos="1453" w:val="left" w:leader="none"/>
        </w:tabs>
        <w:spacing w:line="240" w:lineRule="auto" w:before="0" w:after="0"/>
        <w:ind w:left="1452" w:right="1014" w:hanging="566"/>
        <w:jc w:val="left"/>
        <w:rPr>
          <w:sz w:val="22"/>
        </w:rPr>
      </w:pPr>
      <w:r>
        <w:rPr>
          <w:w w:val="105"/>
          <w:sz w:val="22"/>
        </w:rPr>
        <w:t>when</w:t>
      </w:r>
      <w:r>
        <w:rPr>
          <w:spacing w:val="-8"/>
          <w:w w:val="105"/>
          <w:sz w:val="22"/>
        </w:rPr>
        <w:t> </w:t>
      </w:r>
      <w:r>
        <w:rPr>
          <w:w w:val="105"/>
          <w:sz w:val="22"/>
        </w:rPr>
        <w:t>the</w:t>
      </w:r>
      <w:r>
        <w:rPr>
          <w:spacing w:val="-8"/>
          <w:w w:val="105"/>
          <w:sz w:val="22"/>
        </w:rPr>
        <w:t> </w:t>
      </w:r>
      <w:r>
        <w:rPr>
          <w:w w:val="105"/>
          <w:sz w:val="22"/>
        </w:rPr>
        <w:t>facsimile</w:t>
      </w:r>
      <w:r>
        <w:rPr>
          <w:spacing w:val="-7"/>
          <w:w w:val="105"/>
          <w:sz w:val="22"/>
        </w:rPr>
        <w:t> </w:t>
      </w:r>
      <w:r>
        <w:rPr>
          <w:w w:val="105"/>
          <w:sz w:val="22"/>
        </w:rPr>
        <w:t>transmission</w:t>
      </w:r>
      <w:r>
        <w:rPr>
          <w:spacing w:val="-8"/>
          <w:w w:val="105"/>
          <w:sz w:val="22"/>
        </w:rPr>
        <w:t> </w:t>
      </w:r>
      <w:r>
        <w:rPr>
          <w:w w:val="105"/>
          <w:sz w:val="22"/>
        </w:rPr>
        <w:t>is</w:t>
      </w:r>
      <w:r>
        <w:rPr>
          <w:spacing w:val="-7"/>
          <w:w w:val="105"/>
          <w:sz w:val="22"/>
        </w:rPr>
        <w:t> </w:t>
      </w:r>
      <w:r>
        <w:rPr>
          <w:w w:val="105"/>
          <w:sz w:val="22"/>
        </w:rPr>
        <w:t>received</w:t>
      </w:r>
      <w:r>
        <w:rPr>
          <w:spacing w:val="-8"/>
          <w:w w:val="105"/>
          <w:sz w:val="22"/>
        </w:rPr>
        <w:t> </w:t>
      </w:r>
      <w:r>
        <w:rPr>
          <w:w w:val="105"/>
          <w:sz w:val="22"/>
        </w:rPr>
        <w:t>by</w:t>
      </w:r>
      <w:r>
        <w:rPr>
          <w:spacing w:val="-10"/>
          <w:w w:val="105"/>
          <w:sz w:val="22"/>
        </w:rPr>
        <w:t> </w:t>
      </w:r>
      <w:r>
        <w:rPr>
          <w:w w:val="105"/>
          <w:sz w:val="22"/>
        </w:rPr>
        <w:t>an</w:t>
      </w:r>
      <w:r>
        <w:rPr>
          <w:spacing w:val="-8"/>
          <w:w w:val="105"/>
          <w:sz w:val="22"/>
        </w:rPr>
        <w:t> </w:t>
      </w:r>
      <w:r>
        <w:rPr>
          <w:w w:val="105"/>
          <w:sz w:val="22"/>
        </w:rPr>
        <w:t>addressee</w:t>
      </w:r>
      <w:r>
        <w:rPr>
          <w:spacing w:val="-9"/>
          <w:w w:val="105"/>
          <w:sz w:val="22"/>
        </w:rPr>
        <w:t> </w:t>
      </w:r>
      <w:r>
        <w:rPr>
          <w:w w:val="105"/>
          <w:sz w:val="22"/>
        </w:rPr>
        <w:t>of</w:t>
      </w:r>
      <w:r>
        <w:rPr>
          <w:spacing w:val="-9"/>
          <w:w w:val="105"/>
          <w:sz w:val="22"/>
        </w:rPr>
        <w:t> </w:t>
      </w:r>
      <w:r>
        <w:rPr>
          <w:w w:val="105"/>
          <w:sz w:val="22"/>
        </w:rPr>
        <w:t>a</w:t>
      </w:r>
      <w:r>
        <w:rPr>
          <w:spacing w:val="-8"/>
          <w:w w:val="105"/>
          <w:sz w:val="22"/>
        </w:rPr>
        <w:t> </w:t>
      </w:r>
      <w:r>
        <w:rPr>
          <w:w w:val="105"/>
          <w:sz w:val="22"/>
        </w:rPr>
        <w:t>facsimile correspondence.</w:t>
      </w:r>
    </w:p>
    <w:p>
      <w:pPr>
        <w:spacing w:after="0" w:line="240" w:lineRule="auto"/>
        <w:jc w:val="left"/>
        <w:rPr>
          <w:sz w:val="22"/>
        </w:rPr>
        <w:sectPr>
          <w:pgSz w:w="11900" w:h="16860"/>
          <w:pgMar w:header="0" w:footer="761" w:top="1300" w:bottom="1020" w:left="900" w:right="980"/>
        </w:sectPr>
      </w:pPr>
    </w:p>
    <w:p>
      <w:pPr>
        <w:pStyle w:val="Heading1"/>
        <w:ind w:left="2818"/>
      </w:pPr>
      <w:r>
        <w:rPr/>
        <w:t>SCHEDULE 1 – THE DICTIONARY</w:t>
      </w:r>
    </w:p>
    <w:p>
      <w:pPr>
        <w:pStyle w:val="BodyText"/>
        <w:spacing w:before="256"/>
        <w:ind w:left="319"/>
        <w:jc w:val="both"/>
      </w:pPr>
      <w:r>
        <w:rPr>
          <w:b/>
          <w:w w:val="105"/>
        </w:rPr>
        <w:t>Agreement </w:t>
      </w:r>
      <w:r>
        <w:rPr>
          <w:w w:val="105"/>
        </w:rPr>
        <w:t>means this Racing Australia Co-owner Agreement.</w:t>
      </w:r>
    </w:p>
    <w:p>
      <w:pPr>
        <w:pStyle w:val="BodyText"/>
        <w:spacing w:before="184"/>
        <w:ind w:left="319" w:right="240"/>
        <w:jc w:val="both"/>
      </w:pPr>
      <w:r>
        <w:rPr>
          <w:b/>
        </w:rPr>
        <w:t>Business day </w:t>
      </w:r>
      <w:r>
        <w:rPr/>
        <w:t>means a day that is not a Saturday, a Sunday, or a public holiday in the place concerned.</w:t>
      </w:r>
    </w:p>
    <w:p>
      <w:pPr>
        <w:pStyle w:val="BodyText"/>
        <w:spacing w:before="180"/>
        <w:ind w:left="319" w:right="223"/>
        <w:jc w:val="both"/>
      </w:pPr>
      <w:r>
        <w:rPr>
          <w:b/>
          <w:w w:val="105"/>
        </w:rPr>
        <w:t>Co-owner</w:t>
      </w:r>
      <w:r>
        <w:rPr>
          <w:w w:val="105"/>
        </w:rPr>
        <w:t>, for the purpose of this Agreement, means a person who owns or leases </w:t>
      </w:r>
      <w:r>
        <w:rPr>
          <w:spacing w:val="2"/>
          <w:w w:val="105"/>
        </w:rPr>
        <w:t>the </w:t>
      </w:r>
      <w:r>
        <w:rPr>
          <w:w w:val="105"/>
        </w:rPr>
        <w:t>Horse</w:t>
      </w:r>
      <w:r>
        <w:rPr>
          <w:spacing w:val="-10"/>
          <w:w w:val="105"/>
        </w:rPr>
        <w:t> </w:t>
      </w:r>
      <w:r>
        <w:rPr>
          <w:w w:val="105"/>
        </w:rPr>
        <w:t>together</w:t>
      </w:r>
      <w:r>
        <w:rPr>
          <w:spacing w:val="-14"/>
          <w:w w:val="105"/>
        </w:rPr>
        <w:t> </w:t>
      </w:r>
      <w:r>
        <w:rPr>
          <w:w w:val="105"/>
        </w:rPr>
        <w:t>with</w:t>
      </w:r>
      <w:r>
        <w:rPr>
          <w:spacing w:val="-10"/>
          <w:w w:val="105"/>
        </w:rPr>
        <w:t> </w:t>
      </w:r>
      <w:r>
        <w:rPr>
          <w:w w:val="105"/>
        </w:rPr>
        <w:t>at</w:t>
      </w:r>
      <w:r>
        <w:rPr>
          <w:spacing w:val="-13"/>
          <w:w w:val="105"/>
        </w:rPr>
        <w:t> </w:t>
      </w:r>
      <w:r>
        <w:rPr>
          <w:w w:val="105"/>
        </w:rPr>
        <w:t>least</w:t>
      </w:r>
      <w:r>
        <w:rPr>
          <w:spacing w:val="-13"/>
          <w:w w:val="105"/>
        </w:rPr>
        <w:t> </w:t>
      </w:r>
      <w:r>
        <w:rPr>
          <w:w w:val="105"/>
        </w:rPr>
        <w:t>one</w:t>
      </w:r>
      <w:r>
        <w:rPr>
          <w:spacing w:val="-15"/>
          <w:w w:val="105"/>
        </w:rPr>
        <w:t> </w:t>
      </w:r>
      <w:r>
        <w:rPr>
          <w:w w:val="105"/>
        </w:rPr>
        <w:t>other</w:t>
      </w:r>
      <w:r>
        <w:rPr>
          <w:spacing w:val="-14"/>
          <w:w w:val="105"/>
        </w:rPr>
        <w:t> </w:t>
      </w:r>
      <w:r>
        <w:rPr>
          <w:w w:val="105"/>
        </w:rPr>
        <w:t>person</w:t>
      </w:r>
      <w:r>
        <w:rPr>
          <w:spacing w:val="-1"/>
          <w:w w:val="105"/>
        </w:rPr>
        <w:t> </w:t>
      </w:r>
      <w:r>
        <w:rPr>
          <w:w w:val="105"/>
        </w:rPr>
        <w:t>and</w:t>
      </w:r>
      <w:r>
        <w:rPr>
          <w:spacing w:val="-2"/>
          <w:w w:val="105"/>
        </w:rPr>
        <w:t> </w:t>
      </w:r>
      <w:r>
        <w:rPr>
          <w:w w:val="105"/>
        </w:rPr>
        <w:t>is</w:t>
      </w:r>
      <w:r>
        <w:rPr>
          <w:spacing w:val="0"/>
          <w:w w:val="105"/>
        </w:rPr>
        <w:t> </w:t>
      </w:r>
      <w:r>
        <w:rPr>
          <w:w w:val="105"/>
        </w:rPr>
        <w:t>registered</w:t>
      </w:r>
      <w:r>
        <w:rPr>
          <w:spacing w:val="0"/>
          <w:w w:val="105"/>
        </w:rPr>
        <w:t> </w:t>
      </w:r>
      <w:r>
        <w:rPr>
          <w:w w:val="105"/>
        </w:rPr>
        <w:t>or</w:t>
      </w:r>
      <w:r>
        <w:rPr>
          <w:spacing w:val="-3"/>
          <w:w w:val="105"/>
        </w:rPr>
        <w:t> </w:t>
      </w:r>
      <w:r>
        <w:rPr>
          <w:w w:val="105"/>
        </w:rPr>
        <w:t>is</w:t>
      </w:r>
      <w:r>
        <w:rPr>
          <w:spacing w:val="3"/>
          <w:w w:val="105"/>
        </w:rPr>
        <w:t> </w:t>
      </w:r>
      <w:r>
        <w:rPr>
          <w:w w:val="105"/>
        </w:rPr>
        <w:t>intended</w:t>
      </w:r>
      <w:r>
        <w:rPr>
          <w:spacing w:val="-1"/>
          <w:w w:val="105"/>
        </w:rPr>
        <w:t> </w:t>
      </w:r>
      <w:r>
        <w:rPr>
          <w:w w:val="105"/>
        </w:rPr>
        <w:t>to</w:t>
      </w:r>
      <w:r>
        <w:rPr>
          <w:spacing w:val="-2"/>
          <w:w w:val="105"/>
        </w:rPr>
        <w:t> </w:t>
      </w:r>
      <w:r>
        <w:rPr>
          <w:w w:val="105"/>
        </w:rPr>
        <w:t>be registered with Racing Australia as an Owner or</w:t>
      </w:r>
      <w:r>
        <w:rPr>
          <w:spacing w:val="-32"/>
          <w:w w:val="105"/>
        </w:rPr>
        <w:t> </w:t>
      </w:r>
      <w:r>
        <w:rPr>
          <w:w w:val="105"/>
        </w:rPr>
        <w:t>lessee.</w:t>
      </w:r>
    </w:p>
    <w:p>
      <w:pPr>
        <w:pStyle w:val="BodyText"/>
        <w:spacing w:line="244" w:lineRule="auto" w:before="182"/>
        <w:ind w:left="319" w:right="227"/>
        <w:jc w:val="both"/>
      </w:pPr>
      <w:r>
        <w:rPr>
          <w:b/>
          <w:w w:val="105"/>
        </w:rPr>
        <w:t>Horse </w:t>
      </w:r>
      <w:r>
        <w:rPr>
          <w:w w:val="105"/>
        </w:rPr>
        <w:t>means the thoroughbred horse/s owned by the Co-owners together and where applicable raced by them together and trained by the Trainer, and which is/are the subject of this Agreement.</w:t>
      </w:r>
    </w:p>
    <w:p>
      <w:pPr>
        <w:pStyle w:val="BodyText"/>
        <w:spacing w:before="174"/>
        <w:ind w:left="319" w:right="233"/>
        <w:jc w:val="both"/>
      </w:pPr>
      <w:r>
        <w:rPr>
          <w:b/>
          <w:w w:val="105"/>
        </w:rPr>
        <w:t>Horse Ownership Venture </w:t>
      </w:r>
      <w:r>
        <w:rPr>
          <w:w w:val="105"/>
        </w:rPr>
        <w:t>means the venture conducted by the Co-owners of the Horse, including racing the Horse together, selling all or part of the Horse, and/or breeding of the</w:t>
      </w:r>
      <w:r>
        <w:rPr>
          <w:spacing w:val="63"/>
          <w:w w:val="105"/>
        </w:rPr>
        <w:t> </w:t>
      </w:r>
      <w:r>
        <w:rPr>
          <w:w w:val="105"/>
        </w:rPr>
        <w:t>Horse.</w:t>
      </w:r>
    </w:p>
    <w:p>
      <w:pPr>
        <w:pStyle w:val="BodyText"/>
        <w:spacing w:line="244" w:lineRule="auto" w:before="182"/>
        <w:ind w:left="319" w:right="224"/>
        <w:jc w:val="both"/>
      </w:pPr>
      <w:r>
        <w:rPr>
          <w:b/>
          <w:w w:val="105"/>
        </w:rPr>
        <w:t>Horse</w:t>
      </w:r>
      <w:r>
        <w:rPr>
          <w:b/>
          <w:spacing w:val="2"/>
          <w:w w:val="105"/>
        </w:rPr>
        <w:t> </w:t>
      </w:r>
      <w:r>
        <w:rPr>
          <w:b/>
          <w:w w:val="105"/>
        </w:rPr>
        <w:t>Registration</w:t>
      </w:r>
      <w:r>
        <w:rPr>
          <w:b/>
          <w:spacing w:val="5"/>
          <w:w w:val="105"/>
        </w:rPr>
        <w:t> </w:t>
      </w:r>
      <w:r>
        <w:rPr>
          <w:b/>
          <w:w w:val="105"/>
        </w:rPr>
        <w:t>Form</w:t>
      </w:r>
      <w:r>
        <w:rPr>
          <w:b/>
          <w:spacing w:val="-4"/>
          <w:w w:val="105"/>
        </w:rPr>
        <w:t> </w:t>
      </w:r>
      <w:r>
        <w:rPr>
          <w:w w:val="105"/>
        </w:rPr>
        <w:t>(</w:t>
      </w:r>
      <w:r>
        <w:rPr>
          <w:b/>
          <w:w w:val="105"/>
        </w:rPr>
        <w:t>HRF</w:t>
      </w:r>
      <w:r>
        <w:rPr>
          <w:w w:val="105"/>
        </w:rPr>
        <w:t>)</w:t>
      </w:r>
      <w:r>
        <w:rPr>
          <w:spacing w:val="-6"/>
          <w:w w:val="105"/>
        </w:rPr>
        <w:t> </w:t>
      </w:r>
      <w:r>
        <w:rPr>
          <w:w w:val="105"/>
        </w:rPr>
        <w:t>means</w:t>
      </w:r>
      <w:r>
        <w:rPr>
          <w:spacing w:val="-1"/>
          <w:w w:val="105"/>
        </w:rPr>
        <w:t> </w:t>
      </w:r>
      <w:r>
        <w:rPr>
          <w:w w:val="105"/>
        </w:rPr>
        <w:t>a</w:t>
      </w:r>
      <w:r>
        <w:rPr>
          <w:spacing w:val="-5"/>
          <w:w w:val="105"/>
        </w:rPr>
        <w:t> </w:t>
      </w:r>
      <w:r>
        <w:rPr>
          <w:spacing w:val="-14"/>
          <w:w w:val="105"/>
        </w:rPr>
        <w:t>registration</w:t>
      </w:r>
      <w:r>
        <w:rPr>
          <w:spacing w:val="-33"/>
          <w:w w:val="105"/>
        </w:rPr>
        <w:t> </w:t>
      </w:r>
      <w:r>
        <w:rPr>
          <w:w w:val="105"/>
        </w:rPr>
        <w:t>form</w:t>
      </w:r>
      <w:r>
        <w:rPr>
          <w:spacing w:val="-1"/>
          <w:w w:val="105"/>
        </w:rPr>
        <w:t> </w:t>
      </w:r>
      <w:r>
        <w:rPr>
          <w:w w:val="105"/>
        </w:rPr>
        <w:t>of</w:t>
      </w:r>
      <w:r>
        <w:rPr>
          <w:spacing w:val="-8"/>
          <w:w w:val="105"/>
        </w:rPr>
        <w:t> </w:t>
      </w:r>
      <w:r>
        <w:rPr>
          <w:w w:val="105"/>
        </w:rPr>
        <w:t>that</w:t>
      </w:r>
      <w:r>
        <w:rPr>
          <w:spacing w:val="-5"/>
          <w:w w:val="105"/>
        </w:rPr>
        <w:t> </w:t>
      </w:r>
      <w:r>
        <w:rPr>
          <w:w w:val="105"/>
        </w:rPr>
        <w:t>name</w:t>
      </w:r>
      <w:r>
        <w:rPr>
          <w:spacing w:val="-4"/>
          <w:w w:val="105"/>
        </w:rPr>
        <w:t> </w:t>
      </w:r>
      <w:r>
        <w:rPr>
          <w:w w:val="105"/>
        </w:rPr>
        <w:t>an</w:t>
      </w:r>
      <w:r>
        <w:rPr>
          <w:spacing w:val="-10"/>
          <w:w w:val="105"/>
        </w:rPr>
        <w:t> </w:t>
      </w:r>
      <w:r>
        <w:rPr>
          <w:w w:val="105"/>
        </w:rPr>
        <w:t>Owner</w:t>
      </w:r>
      <w:r>
        <w:rPr>
          <w:spacing w:val="-11"/>
          <w:w w:val="105"/>
        </w:rPr>
        <w:t> </w:t>
      </w:r>
      <w:r>
        <w:rPr>
          <w:w w:val="105"/>
        </w:rPr>
        <w:t>must</w:t>
      </w:r>
      <w:r>
        <w:rPr>
          <w:spacing w:val="-9"/>
          <w:w w:val="105"/>
        </w:rPr>
        <w:t> </w:t>
      </w:r>
      <w:r>
        <w:rPr>
          <w:w w:val="105"/>
        </w:rPr>
        <w:t>lodge with Racing Australia to register the Horse (or an interest in the Horse) for</w:t>
      </w:r>
      <w:r>
        <w:rPr>
          <w:spacing w:val="-40"/>
          <w:w w:val="105"/>
        </w:rPr>
        <w:t> </w:t>
      </w:r>
      <w:r>
        <w:rPr>
          <w:w w:val="105"/>
        </w:rPr>
        <w:t>racing.</w:t>
      </w:r>
    </w:p>
    <w:p>
      <w:pPr>
        <w:pStyle w:val="BodyText"/>
        <w:spacing w:before="176"/>
        <w:ind w:left="319" w:right="227"/>
        <w:jc w:val="both"/>
      </w:pPr>
      <w:r>
        <w:rPr>
          <w:b/>
          <w:w w:val="105"/>
        </w:rPr>
        <w:t>Managing Owner </w:t>
      </w:r>
      <w:r>
        <w:rPr>
          <w:w w:val="105"/>
        </w:rPr>
        <w:t>means a Co-owner of the Horse who is specified as the managing owner in the HRF or other relevant registration form lodged or to be lodged with Racing Australia</w:t>
      </w:r>
      <w:r>
        <w:rPr>
          <w:spacing w:val="63"/>
          <w:w w:val="105"/>
        </w:rPr>
        <w:t> </w:t>
      </w:r>
      <w:r>
        <w:rPr>
          <w:w w:val="105"/>
        </w:rPr>
        <w:t>and, for the purpose of this Agreement, a person is entitled to rely on the Horse’s ownership registration records held by Racing Australia as conclusive evidence that the person specified on the relevant registration form is the Managing Owner of the Horse, unless </w:t>
      </w:r>
      <w:r>
        <w:rPr>
          <w:spacing w:val="-3"/>
          <w:w w:val="105"/>
        </w:rPr>
        <w:t>the </w:t>
      </w:r>
      <w:r>
        <w:rPr>
          <w:w w:val="105"/>
        </w:rPr>
        <w:t>person has actual knowledge to the contrary.</w:t>
      </w:r>
    </w:p>
    <w:p>
      <w:pPr>
        <w:pStyle w:val="BodyText"/>
        <w:spacing w:before="181"/>
        <w:ind w:left="319" w:right="228"/>
        <w:jc w:val="both"/>
      </w:pPr>
      <w:r>
        <w:rPr>
          <w:b/>
          <w:w w:val="105"/>
        </w:rPr>
        <w:t>Majority Consent </w:t>
      </w:r>
      <w:r>
        <w:rPr>
          <w:w w:val="105"/>
        </w:rPr>
        <w:t>means the consent or approval of Co-owners that own greater than 50% of the aggregate ownership of the Horse, as determined at a meeting of the Co-owners convened pursuant to clause 2.3 of this Agreement or as evidenced in writing including by letter, email, facsimile, signed written consent document or other means. A written consent document may be signed in and comprise counterparts.</w:t>
      </w:r>
    </w:p>
    <w:p>
      <w:pPr>
        <w:pStyle w:val="BodyText"/>
        <w:spacing w:before="180"/>
        <w:ind w:left="319" w:right="226"/>
        <w:jc w:val="both"/>
      </w:pPr>
      <w:r>
        <w:rPr>
          <w:b/>
          <w:w w:val="105"/>
        </w:rPr>
        <w:t>Owner</w:t>
      </w:r>
      <w:r>
        <w:rPr>
          <w:w w:val="105"/>
        </w:rPr>
        <w:t>, for the purpose of this Agreement, means an owner, part owner, lessee, Syndicate registered with a PRA or Racing Australia, corporation or Managing Owner, or any of them, but does not include a member of a registered Syndicate within the meaning of the Rules of Racing</w:t>
      </w:r>
      <w:r>
        <w:rPr>
          <w:spacing w:val="-15"/>
          <w:w w:val="105"/>
        </w:rPr>
        <w:t> </w:t>
      </w:r>
      <w:r>
        <w:rPr>
          <w:w w:val="105"/>
        </w:rPr>
        <w:t>in</w:t>
      </w:r>
      <w:r>
        <w:rPr>
          <w:spacing w:val="-13"/>
          <w:w w:val="105"/>
        </w:rPr>
        <w:t> </w:t>
      </w:r>
      <w:r>
        <w:rPr>
          <w:w w:val="105"/>
        </w:rPr>
        <w:t>his,</w:t>
      </w:r>
      <w:r>
        <w:rPr>
          <w:spacing w:val="-13"/>
          <w:w w:val="105"/>
        </w:rPr>
        <w:t> </w:t>
      </w:r>
      <w:r>
        <w:rPr>
          <w:w w:val="105"/>
        </w:rPr>
        <w:t>her,</w:t>
      </w:r>
      <w:r>
        <w:rPr>
          <w:spacing w:val="-13"/>
          <w:w w:val="105"/>
        </w:rPr>
        <w:t> </w:t>
      </w:r>
      <w:r>
        <w:rPr>
          <w:w w:val="105"/>
        </w:rPr>
        <w:t>or</w:t>
      </w:r>
      <w:r>
        <w:rPr>
          <w:spacing w:val="-17"/>
          <w:w w:val="105"/>
        </w:rPr>
        <w:t> </w:t>
      </w:r>
      <w:r>
        <w:rPr>
          <w:w w:val="105"/>
        </w:rPr>
        <w:t>its</w:t>
      </w:r>
      <w:r>
        <w:rPr>
          <w:spacing w:val="-11"/>
          <w:w w:val="105"/>
        </w:rPr>
        <w:t> </w:t>
      </w:r>
      <w:r>
        <w:rPr>
          <w:w w:val="105"/>
        </w:rPr>
        <w:t>own</w:t>
      </w:r>
      <w:r>
        <w:rPr>
          <w:spacing w:val="-13"/>
          <w:w w:val="105"/>
        </w:rPr>
        <w:t> </w:t>
      </w:r>
      <w:r>
        <w:rPr>
          <w:w w:val="105"/>
        </w:rPr>
        <w:t>right</w:t>
      </w:r>
      <w:r>
        <w:rPr>
          <w:spacing w:val="-13"/>
          <w:w w:val="105"/>
        </w:rPr>
        <w:t> </w:t>
      </w:r>
      <w:r>
        <w:rPr>
          <w:w w:val="105"/>
        </w:rPr>
        <w:t>(who</w:t>
      </w:r>
      <w:r>
        <w:rPr>
          <w:spacing w:val="-15"/>
          <w:w w:val="105"/>
        </w:rPr>
        <w:t> </w:t>
      </w:r>
      <w:r>
        <w:rPr>
          <w:w w:val="105"/>
        </w:rPr>
        <w:t>for</w:t>
      </w:r>
      <w:r>
        <w:rPr>
          <w:spacing w:val="-16"/>
          <w:w w:val="105"/>
        </w:rPr>
        <w:t> </w:t>
      </w:r>
      <w:r>
        <w:rPr>
          <w:w w:val="105"/>
        </w:rPr>
        <w:t>the</w:t>
      </w:r>
      <w:r>
        <w:rPr>
          <w:spacing w:val="-17"/>
          <w:w w:val="105"/>
        </w:rPr>
        <w:t> </w:t>
      </w:r>
      <w:r>
        <w:rPr>
          <w:w w:val="105"/>
        </w:rPr>
        <w:t>purpose</w:t>
      </w:r>
      <w:r>
        <w:rPr>
          <w:spacing w:val="-16"/>
          <w:w w:val="105"/>
        </w:rPr>
        <w:t> </w:t>
      </w:r>
      <w:r>
        <w:rPr>
          <w:w w:val="105"/>
        </w:rPr>
        <w:t>of</w:t>
      </w:r>
      <w:r>
        <w:rPr>
          <w:spacing w:val="-11"/>
          <w:w w:val="105"/>
        </w:rPr>
        <w:t> </w:t>
      </w:r>
      <w:r>
        <w:rPr>
          <w:w w:val="105"/>
        </w:rPr>
        <w:t>this</w:t>
      </w:r>
      <w:r>
        <w:rPr>
          <w:spacing w:val="-17"/>
          <w:w w:val="105"/>
        </w:rPr>
        <w:t> </w:t>
      </w:r>
      <w:r>
        <w:rPr>
          <w:w w:val="105"/>
        </w:rPr>
        <w:t>Agreement</w:t>
      </w:r>
      <w:r>
        <w:rPr>
          <w:spacing w:val="-12"/>
          <w:w w:val="105"/>
        </w:rPr>
        <w:t> </w:t>
      </w:r>
      <w:r>
        <w:rPr>
          <w:w w:val="105"/>
        </w:rPr>
        <w:t>is</w:t>
      </w:r>
      <w:r>
        <w:rPr>
          <w:spacing w:val="-14"/>
          <w:w w:val="105"/>
        </w:rPr>
        <w:t> </w:t>
      </w:r>
      <w:r>
        <w:rPr>
          <w:w w:val="105"/>
        </w:rPr>
        <w:t>represented</w:t>
      </w:r>
      <w:r>
        <w:rPr>
          <w:spacing w:val="-17"/>
          <w:w w:val="105"/>
        </w:rPr>
        <w:t> </w:t>
      </w:r>
      <w:r>
        <w:rPr>
          <w:w w:val="105"/>
        </w:rPr>
        <w:t>by</w:t>
      </w:r>
      <w:r>
        <w:rPr>
          <w:spacing w:val="-14"/>
          <w:w w:val="105"/>
        </w:rPr>
        <w:t> </w:t>
      </w:r>
      <w:r>
        <w:rPr>
          <w:spacing w:val="-3"/>
          <w:w w:val="105"/>
        </w:rPr>
        <w:t>the </w:t>
      </w:r>
      <w:r>
        <w:rPr>
          <w:w w:val="105"/>
        </w:rPr>
        <w:t>relevant</w:t>
      </w:r>
      <w:r>
        <w:rPr>
          <w:spacing w:val="-45"/>
          <w:w w:val="105"/>
        </w:rPr>
        <w:t> </w:t>
      </w:r>
      <w:r>
        <w:rPr>
          <w:w w:val="105"/>
        </w:rPr>
        <w:t>Syndicate</w:t>
      </w:r>
      <w:r>
        <w:rPr>
          <w:spacing w:val="-44"/>
          <w:w w:val="105"/>
        </w:rPr>
        <w:t> </w:t>
      </w:r>
      <w:r>
        <w:rPr>
          <w:w w:val="105"/>
        </w:rPr>
        <w:t>Managerin</w:t>
      </w:r>
      <w:r>
        <w:rPr>
          <w:spacing w:val="-42"/>
          <w:w w:val="105"/>
        </w:rPr>
        <w:t> </w:t>
      </w:r>
      <w:r>
        <w:rPr>
          <w:w w:val="105"/>
        </w:rPr>
        <w:t>accordance</w:t>
      </w:r>
      <w:r>
        <w:rPr>
          <w:spacing w:val="-44"/>
          <w:w w:val="105"/>
        </w:rPr>
        <w:t> </w:t>
      </w:r>
      <w:r>
        <w:rPr>
          <w:w w:val="105"/>
        </w:rPr>
        <w:t>with</w:t>
      </w:r>
      <w:r>
        <w:rPr>
          <w:spacing w:val="-44"/>
          <w:w w:val="105"/>
        </w:rPr>
        <w:t> </w:t>
      </w:r>
      <w:r>
        <w:rPr>
          <w:w w:val="105"/>
        </w:rPr>
        <w:t>clause1.9).</w:t>
      </w:r>
    </w:p>
    <w:p>
      <w:pPr>
        <w:pStyle w:val="BodyText"/>
        <w:spacing w:before="183"/>
        <w:ind w:left="319" w:right="224"/>
        <w:jc w:val="both"/>
      </w:pPr>
      <w:r>
        <w:rPr>
          <w:b/>
          <w:w w:val="105"/>
        </w:rPr>
        <w:t>Owner’s interest </w:t>
      </w:r>
      <w:r>
        <w:rPr>
          <w:w w:val="105"/>
        </w:rPr>
        <w:t>means the percentage interest or share in the Horse owned by a Co- owner, as specified in the relevant registration form held by Racing Australia or as subsequently amended by another later registration form (including a transfer of ownership form) lodged with Racing Australia.</w:t>
      </w:r>
    </w:p>
    <w:p>
      <w:pPr>
        <w:spacing w:before="181"/>
        <w:ind w:left="319" w:right="218" w:firstLine="0"/>
        <w:jc w:val="both"/>
        <w:rPr>
          <w:sz w:val="22"/>
        </w:rPr>
      </w:pPr>
      <w:r>
        <w:rPr>
          <w:b/>
          <w:sz w:val="22"/>
        </w:rPr>
        <w:t>Promoter Syndicate </w:t>
      </w:r>
      <w:r>
        <w:rPr>
          <w:sz w:val="22"/>
        </w:rPr>
        <w:t>means a Syndicate where the </w:t>
      </w:r>
      <w:r>
        <w:rPr>
          <w:spacing w:val="-4"/>
          <w:sz w:val="22"/>
        </w:rPr>
        <w:t>Co-owners </w:t>
      </w:r>
      <w:r>
        <w:rPr>
          <w:sz w:val="22"/>
        </w:rPr>
        <w:t>own </w:t>
      </w:r>
      <w:r>
        <w:rPr>
          <w:spacing w:val="-3"/>
          <w:sz w:val="22"/>
        </w:rPr>
        <w:t>their </w:t>
      </w:r>
      <w:r>
        <w:rPr>
          <w:spacing w:val="-4"/>
          <w:sz w:val="22"/>
        </w:rPr>
        <w:t>interest </w:t>
      </w:r>
      <w:r>
        <w:rPr>
          <w:sz w:val="22"/>
        </w:rPr>
        <w:t>in a </w:t>
      </w:r>
      <w:r>
        <w:rPr>
          <w:spacing w:val="-3"/>
          <w:sz w:val="22"/>
        </w:rPr>
        <w:t>horse </w:t>
      </w:r>
      <w:r>
        <w:rPr>
          <w:sz w:val="22"/>
        </w:rPr>
        <w:t>as a </w:t>
      </w:r>
      <w:r>
        <w:rPr>
          <w:spacing w:val="-3"/>
          <w:sz w:val="22"/>
        </w:rPr>
        <w:t>result </w:t>
      </w:r>
      <w:r>
        <w:rPr>
          <w:sz w:val="22"/>
        </w:rPr>
        <w:t>of </w:t>
      </w:r>
      <w:r>
        <w:rPr>
          <w:spacing w:val="-4"/>
          <w:sz w:val="22"/>
        </w:rPr>
        <w:t>acquiring shares </w:t>
      </w:r>
      <w:r>
        <w:rPr>
          <w:sz w:val="22"/>
        </w:rPr>
        <w:t>in the </w:t>
      </w:r>
      <w:r>
        <w:rPr>
          <w:spacing w:val="-4"/>
          <w:sz w:val="22"/>
        </w:rPr>
        <w:t>Horse offered </w:t>
      </w:r>
      <w:r>
        <w:rPr>
          <w:sz w:val="22"/>
        </w:rPr>
        <w:t>by a </w:t>
      </w:r>
      <w:r>
        <w:rPr>
          <w:spacing w:val="-4"/>
          <w:sz w:val="22"/>
        </w:rPr>
        <w:t>promoter approved </w:t>
      </w:r>
      <w:r>
        <w:rPr>
          <w:sz w:val="22"/>
        </w:rPr>
        <w:t>by a PRA and </w:t>
      </w:r>
      <w:r>
        <w:rPr>
          <w:spacing w:val="-4"/>
          <w:sz w:val="22"/>
        </w:rPr>
        <w:t>licensed </w:t>
      </w:r>
      <w:r>
        <w:rPr>
          <w:spacing w:val="-3"/>
          <w:sz w:val="22"/>
        </w:rPr>
        <w:t>under </w:t>
      </w:r>
      <w:r>
        <w:rPr>
          <w:sz w:val="22"/>
        </w:rPr>
        <w:t>the </w:t>
      </w:r>
      <w:r>
        <w:rPr>
          <w:i/>
          <w:spacing w:val="-4"/>
          <w:sz w:val="22"/>
        </w:rPr>
        <w:t>Corporations </w:t>
      </w:r>
      <w:r>
        <w:rPr>
          <w:i/>
          <w:spacing w:val="-3"/>
          <w:sz w:val="22"/>
        </w:rPr>
        <w:t>Act 2001 </w:t>
      </w:r>
      <w:r>
        <w:rPr>
          <w:spacing w:val="-3"/>
          <w:sz w:val="22"/>
        </w:rPr>
        <w:t>(Cth) </w:t>
      </w:r>
      <w:r>
        <w:rPr>
          <w:spacing w:val="-4"/>
          <w:sz w:val="22"/>
        </w:rPr>
        <w:t>and/or </w:t>
      </w:r>
      <w:r>
        <w:rPr>
          <w:spacing w:val="-3"/>
          <w:sz w:val="22"/>
        </w:rPr>
        <w:t>offered </w:t>
      </w:r>
      <w:r>
        <w:rPr>
          <w:spacing w:val="-4"/>
          <w:sz w:val="22"/>
        </w:rPr>
        <w:t>pursuant </w:t>
      </w:r>
      <w:r>
        <w:rPr>
          <w:sz w:val="22"/>
        </w:rPr>
        <w:t>to </w:t>
      </w:r>
      <w:r>
        <w:rPr>
          <w:i/>
          <w:spacing w:val="-4"/>
          <w:sz w:val="22"/>
        </w:rPr>
        <w:t>ASIC Corporations (Horse </w:t>
      </w:r>
      <w:r>
        <w:rPr>
          <w:i/>
          <w:spacing w:val="-4"/>
          <w:sz w:val="22"/>
        </w:rPr>
        <w:t>Schemes)</w:t>
      </w:r>
      <w:r>
        <w:rPr>
          <w:i/>
          <w:spacing w:val="52"/>
          <w:sz w:val="22"/>
        </w:rPr>
        <w:t> </w:t>
      </w:r>
      <w:r>
        <w:rPr>
          <w:i/>
          <w:spacing w:val="-4"/>
          <w:sz w:val="22"/>
        </w:rPr>
        <w:t>Instrument</w:t>
      </w:r>
      <w:r>
        <w:rPr>
          <w:i/>
          <w:spacing w:val="52"/>
          <w:sz w:val="22"/>
        </w:rPr>
        <w:t> </w:t>
      </w:r>
      <w:r>
        <w:rPr>
          <w:i/>
          <w:spacing w:val="-4"/>
          <w:sz w:val="22"/>
        </w:rPr>
        <w:t>2016/790</w:t>
      </w:r>
      <w:r>
        <w:rPr>
          <w:i/>
          <w:spacing w:val="52"/>
          <w:sz w:val="22"/>
        </w:rPr>
        <w:t> </w:t>
      </w:r>
      <w:r>
        <w:rPr>
          <w:sz w:val="22"/>
        </w:rPr>
        <w:t>or a </w:t>
      </w:r>
      <w:r>
        <w:rPr>
          <w:spacing w:val="-4"/>
          <w:sz w:val="22"/>
        </w:rPr>
        <w:t>successor</w:t>
      </w:r>
      <w:r>
        <w:rPr>
          <w:spacing w:val="52"/>
          <w:sz w:val="22"/>
        </w:rPr>
        <w:t> </w:t>
      </w:r>
      <w:r>
        <w:rPr>
          <w:sz w:val="22"/>
        </w:rPr>
        <w:t>or </w:t>
      </w:r>
      <w:r>
        <w:rPr>
          <w:spacing w:val="-4"/>
          <w:sz w:val="22"/>
        </w:rPr>
        <w:t>predecessor</w:t>
      </w:r>
      <w:r>
        <w:rPr>
          <w:spacing w:val="52"/>
          <w:sz w:val="22"/>
        </w:rPr>
        <w:t> </w:t>
      </w:r>
      <w:r>
        <w:rPr>
          <w:spacing w:val="-4"/>
          <w:sz w:val="22"/>
        </w:rPr>
        <w:t>instrument</w:t>
      </w:r>
      <w:r>
        <w:rPr>
          <w:spacing w:val="52"/>
          <w:sz w:val="22"/>
        </w:rPr>
        <w:t> </w:t>
      </w:r>
      <w:r>
        <w:rPr>
          <w:sz w:val="22"/>
        </w:rPr>
        <w:t>to </w:t>
      </w:r>
      <w:r>
        <w:rPr>
          <w:spacing w:val="-2"/>
          <w:sz w:val="22"/>
        </w:rPr>
        <w:t>it. </w:t>
      </w:r>
      <w:r>
        <w:rPr>
          <w:spacing w:val="-4"/>
          <w:sz w:val="22"/>
        </w:rPr>
        <w:t>Promoter</w:t>
      </w:r>
      <w:r>
        <w:rPr>
          <w:spacing w:val="52"/>
          <w:sz w:val="22"/>
        </w:rPr>
        <w:t> </w:t>
      </w:r>
      <w:r>
        <w:rPr>
          <w:spacing w:val="-4"/>
          <w:sz w:val="22"/>
        </w:rPr>
        <w:t>Syndicates </w:t>
      </w:r>
      <w:r>
        <w:rPr>
          <w:sz w:val="22"/>
        </w:rPr>
        <w:t>which own the whole of a Horse through that syndicate are not </w:t>
      </w:r>
      <w:r>
        <w:rPr>
          <w:spacing w:val="-4"/>
          <w:sz w:val="22"/>
        </w:rPr>
        <w:t>subject </w:t>
      </w:r>
      <w:r>
        <w:rPr>
          <w:sz w:val="22"/>
        </w:rPr>
        <w:t>to </w:t>
      </w:r>
      <w:r>
        <w:rPr>
          <w:spacing w:val="-3"/>
          <w:sz w:val="22"/>
        </w:rPr>
        <w:t>this </w:t>
      </w:r>
      <w:r>
        <w:rPr>
          <w:spacing w:val="-4"/>
          <w:sz w:val="22"/>
        </w:rPr>
        <w:t>Agreement.</w:t>
      </w:r>
    </w:p>
    <w:p>
      <w:pPr>
        <w:pStyle w:val="BodyText"/>
        <w:spacing w:before="179"/>
        <w:ind w:left="319" w:right="236"/>
        <w:jc w:val="both"/>
      </w:pPr>
      <w:r>
        <w:rPr>
          <w:b/>
          <w:w w:val="105"/>
        </w:rPr>
        <w:t>Principal Racing Authority </w:t>
      </w:r>
      <w:r>
        <w:rPr>
          <w:w w:val="105"/>
        </w:rPr>
        <w:t>(</w:t>
      </w:r>
      <w:r>
        <w:rPr>
          <w:b/>
          <w:w w:val="105"/>
        </w:rPr>
        <w:t>PRA</w:t>
      </w:r>
      <w:r>
        <w:rPr>
          <w:w w:val="105"/>
        </w:rPr>
        <w:t>) means the relevant peak body in each of the States and Territories of Australia responsible for the conduct and administration of thoroughbred horse racing in the State or Territory.</w:t>
      </w:r>
    </w:p>
    <w:p>
      <w:pPr>
        <w:pStyle w:val="BodyText"/>
        <w:spacing w:before="182"/>
        <w:ind w:left="319" w:right="227"/>
        <w:jc w:val="both"/>
      </w:pPr>
      <w:r>
        <w:rPr>
          <w:b/>
          <w:w w:val="105"/>
        </w:rPr>
        <w:t>Racing Australia Standard Training Agreement (STA) </w:t>
      </w:r>
      <w:r>
        <w:rPr>
          <w:w w:val="105"/>
        </w:rPr>
        <w:t>means the agreement of that  name recognised by the Rules of Racing containing certain rights and obligations between the</w:t>
      </w:r>
      <w:r>
        <w:rPr>
          <w:spacing w:val="-3"/>
          <w:w w:val="105"/>
        </w:rPr>
        <w:t> </w:t>
      </w:r>
      <w:r>
        <w:rPr>
          <w:w w:val="105"/>
        </w:rPr>
        <w:t>Trainer</w:t>
      </w:r>
      <w:r>
        <w:rPr>
          <w:spacing w:val="-1"/>
          <w:w w:val="105"/>
        </w:rPr>
        <w:t> </w:t>
      </w:r>
      <w:r>
        <w:rPr>
          <w:w w:val="105"/>
        </w:rPr>
        <w:t>and</w:t>
      </w:r>
      <w:r>
        <w:rPr>
          <w:spacing w:val="-3"/>
          <w:w w:val="105"/>
        </w:rPr>
        <w:t> </w:t>
      </w:r>
      <w:r>
        <w:rPr>
          <w:w w:val="105"/>
        </w:rPr>
        <w:t>the</w:t>
      </w:r>
      <w:r>
        <w:rPr>
          <w:spacing w:val="-3"/>
          <w:w w:val="105"/>
        </w:rPr>
        <w:t> </w:t>
      </w:r>
      <w:r>
        <w:rPr>
          <w:w w:val="105"/>
        </w:rPr>
        <w:t>Owner</w:t>
      </w:r>
      <w:r>
        <w:rPr>
          <w:spacing w:val="-4"/>
          <w:w w:val="105"/>
        </w:rPr>
        <w:t> </w:t>
      </w:r>
      <w:r>
        <w:rPr>
          <w:w w:val="105"/>
        </w:rPr>
        <w:t>in</w:t>
      </w:r>
      <w:r>
        <w:rPr>
          <w:spacing w:val="-1"/>
          <w:w w:val="105"/>
        </w:rPr>
        <w:t> </w:t>
      </w:r>
      <w:r>
        <w:rPr>
          <w:w w:val="105"/>
        </w:rPr>
        <w:t>relation</w:t>
      </w:r>
      <w:r>
        <w:rPr>
          <w:spacing w:val="-1"/>
          <w:w w:val="105"/>
        </w:rPr>
        <w:t> </w:t>
      </w:r>
      <w:r>
        <w:rPr>
          <w:w w:val="105"/>
        </w:rPr>
        <w:t>to</w:t>
      </w:r>
      <w:r>
        <w:rPr>
          <w:spacing w:val="-1"/>
          <w:w w:val="105"/>
        </w:rPr>
        <w:t> </w:t>
      </w:r>
      <w:r>
        <w:rPr>
          <w:w w:val="105"/>
        </w:rPr>
        <w:t>training</w:t>
      </w:r>
      <w:r>
        <w:rPr>
          <w:spacing w:val="-1"/>
          <w:w w:val="105"/>
        </w:rPr>
        <w:t> </w:t>
      </w:r>
      <w:r>
        <w:rPr>
          <w:w w:val="105"/>
        </w:rPr>
        <w:t>the</w:t>
      </w:r>
      <w:r>
        <w:rPr>
          <w:spacing w:val="-3"/>
          <w:w w:val="105"/>
        </w:rPr>
        <w:t> </w:t>
      </w:r>
      <w:r>
        <w:rPr>
          <w:w w:val="105"/>
        </w:rPr>
        <w:t>Horse</w:t>
      </w:r>
      <w:r>
        <w:rPr>
          <w:spacing w:val="-3"/>
          <w:w w:val="105"/>
        </w:rPr>
        <w:t> </w:t>
      </w:r>
      <w:r>
        <w:rPr>
          <w:w w:val="105"/>
        </w:rPr>
        <w:t>(if</w:t>
      </w:r>
      <w:r>
        <w:rPr>
          <w:spacing w:val="-1"/>
          <w:w w:val="105"/>
        </w:rPr>
        <w:t> </w:t>
      </w:r>
      <w:r>
        <w:rPr>
          <w:w w:val="105"/>
        </w:rPr>
        <w:t>it</w:t>
      </w:r>
      <w:r>
        <w:rPr>
          <w:spacing w:val="-3"/>
          <w:w w:val="105"/>
        </w:rPr>
        <w:t> </w:t>
      </w:r>
      <w:r>
        <w:rPr>
          <w:w w:val="105"/>
        </w:rPr>
        <w:t>is</w:t>
      </w:r>
      <w:r>
        <w:rPr>
          <w:spacing w:val="-1"/>
          <w:w w:val="105"/>
        </w:rPr>
        <w:t> </w:t>
      </w:r>
      <w:r>
        <w:rPr>
          <w:w w:val="105"/>
        </w:rPr>
        <w:t>to</w:t>
      </w:r>
      <w:r>
        <w:rPr>
          <w:spacing w:val="-1"/>
          <w:w w:val="105"/>
        </w:rPr>
        <w:t> </w:t>
      </w:r>
      <w:r>
        <w:rPr>
          <w:w w:val="105"/>
        </w:rPr>
        <w:t>be</w:t>
      </w:r>
      <w:r>
        <w:rPr>
          <w:spacing w:val="-3"/>
          <w:w w:val="105"/>
        </w:rPr>
        <w:t> </w:t>
      </w:r>
      <w:r>
        <w:rPr>
          <w:w w:val="105"/>
        </w:rPr>
        <w:t>trained</w:t>
      </w:r>
      <w:r>
        <w:rPr>
          <w:spacing w:val="-3"/>
          <w:w w:val="105"/>
        </w:rPr>
        <w:t> </w:t>
      </w:r>
      <w:r>
        <w:rPr>
          <w:w w:val="105"/>
        </w:rPr>
        <w:t>and/or</w:t>
      </w:r>
      <w:r>
        <w:rPr>
          <w:spacing w:val="-27"/>
          <w:w w:val="105"/>
        </w:rPr>
        <w:t> </w:t>
      </w:r>
      <w:r>
        <w:rPr>
          <w:w w:val="105"/>
        </w:rPr>
        <w:t>raced).</w:t>
      </w:r>
    </w:p>
    <w:p>
      <w:pPr>
        <w:spacing w:after="0"/>
        <w:jc w:val="both"/>
        <w:sectPr>
          <w:pgSz w:w="11900" w:h="16860"/>
          <w:pgMar w:header="0" w:footer="761" w:top="1300" w:bottom="980" w:left="900" w:right="980"/>
        </w:sectPr>
      </w:pPr>
    </w:p>
    <w:p>
      <w:pPr>
        <w:pStyle w:val="BodyText"/>
        <w:spacing w:before="69"/>
        <w:ind w:left="319" w:right="241"/>
        <w:jc w:val="both"/>
      </w:pPr>
      <w:r>
        <w:rPr>
          <w:b/>
          <w:w w:val="105"/>
        </w:rPr>
        <w:t>Racing Australia </w:t>
      </w:r>
      <w:r>
        <w:rPr>
          <w:w w:val="105"/>
        </w:rPr>
        <w:t>means Racing Australia Ltd and any successor entity substantially carrying out its functions.</w:t>
      </w:r>
    </w:p>
    <w:p>
      <w:pPr>
        <w:pStyle w:val="BodyText"/>
        <w:spacing w:before="184"/>
        <w:ind w:left="319" w:right="233"/>
        <w:jc w:val="both"/>
      </w:pPr>
      <w:r>
        <w:rPr>
          <w:b/>
          <w:w w:val="105"/>
        </w:rPr>
        <w:t>Rules of Racing </w:t>
      </w:r>
      <w:r>
        <w:rPr>
          <w:w w:val="105"/>
        </w:rPr>
        <w:t>means the Australian Rules of Racing promulgated by Racing Australia (and formerly the Australian Racing Board), together with Local Rules of a PRA , each as amended from time to time.</w:t>
      </w:r>
    </w:p>
    <w:p>
      <w:pPr>
        <w:pStyle w:val="BodyText"/>
        <w:spacing w:line="244" w:lineRule="auto" w:before="181"/>
        <w:ind w:left="319" w:right="243"/>
        <w:jc w:val="both"/>
      </w:pPr>
      <w:r>
        <w:rPr>
          <w:b/>
          <w:w w:val="105"/>
        </w:rPr>
        <w:t>Shared Property </w:t>
      </w:r>
      <w:r>
        <w:rPr>
          <w:w w:val="105"/>
        </w:rPr>
        <w:t>means any property (including but not limited to physical prizes like trophies) not in monetary form and which the Co-owners collectively own.</w:t>
      </w:r>
    </w:p>
    <w:p>
      <w:pPr>
        <w:pStyle w:val="BodyText"/>
        <w:spacing w:before="176"/>
        <w:ind w:left="319" w:right="227"/>
        <w:jc w:val="both"/>
      </w:pPr>
      <w:r>
        <w:rPr>
          <w:b/>
          <w:w w:val="105"/>
        </w:rPr>
        <w:t>Special Consent </w:t>
      </w:r>
      <w:r>
        <w:rPr>
          <w:w w:val="105"/>
        </w:rPr>
        <w:t>means the consent or approval of Co-owners that own at least 75% of the aggregate ownership of the Horse, as agreed at a meeting of the Co-owners convened pursuant to clause 2.3 of this Agreement or as evidenced in writing including by letter, email, facsimile, signed written consent document or other means. A written consent document may be signed in and comprise</w:t>
      </w:r>
      <w:r>
        <w:rPr>
          <w:spacing w:val="-14"/>
          <w:w w:val="105"/>
        </w:rPr>
        <w:t> </w:t>
      </w:r>
      <w:r>
        <w:rPr>
          <w:w w:val="105"/>
        </w:rPr>
        <w:t>counterparts.</w:t>
      </w:r>
    </w:p>
    <w:p>
      <w:pPr>
        <w:pStyle w:val="BodyText"/>
        <w:spacing w:before="182"/>
        <w:ind w:left="319" w:right="238"/>
        <w:jc w:val="both"/>
      </w:pPr>
      <w:r>
        <w:rPr>
          <w:b/>
          <w:w w:val="105"/>
        </w:rPr>
        <w:t>Stable Return </w:t>
      </w:r>
      <w:r>
        <w:rPr>
          <w:w w:val="105"/>
        </w:rPr>
        <w:t>means a stable return, form or notification lodged by the Trainer with Racing Australia in respect of the Horse.</w:t>
      </w:r>
    </w:p>
    <w:p>
      <w:pPr>
        <w:pStyle w:val="BodyText"/>
        <w:spacing w:before="183"/>
        <w:ind w:left="319"/>
        <w:jc w:val="both"/>
      </w:pPr>
      <w:r>
        <w:rPr>
          <w:b/>
        </w:rPr>
        <w:t>Syndicate </w:t>
      </w:r>
      <w:r>
        <w:rPr/>
        <w:t>means a syndicate as defined by the Rules of Racing.</w:t>
      </w:r>
    </w:p>
    <w:p>
      <w:pPr>
        <w:pStyle w:val="BodyText"/>
        <w:spacing w:before="182"/>
        <w:ind w:left="319" w:right="222"/>
        <w:jc w:val="both"/>
      </w:pPr>
      <w:r>
        <w:rPr>
          <w:b/>
          <w:spacing w:val="-4"/>
        </w:rPr>
        <w:t>Syndicate Manager </w:t>
      </w:r>
      <w:r>
        <w:rPr>
          <w:spacing w:val="-3"/>
        </w:rPr>
        <w:t>means </w:t>
      </w:r>
      <w:r>
        <w:rPr/>
        <w:t>the </w:t>
      </w:r>
      <w:r>
        <w:rPr>
          <w:spacing w:val="-4"/>
        </w:rPr>
        <w:t>person/s identified </w:t>
      </w:r>
      <w:r>
        <w:rPr/>
        <w:t>as </w:t>
      </w:r>
      <w:r>
        <w:rPr>
          <w:spacing w:val="-3"/>
        </w:rPr>
        <w:t>such </w:t>
      </w:r>
      <w:r>
        <w:rPr/>
        <w:t>in a </w:t>
      </w:r>
      <w:r>
        <w:rPr>
          <w:spacing w:val="-4"/>
        </w:rPr>
        <w:t>HRF </w:t>
      </w:r>
      <w:r>
        <w:rPr/>
        <w:t>or </w:t>
      </w:r>
      <w:r>
        <w:rPr>
          <w:spacing w:val="-4"/>
        </w:rPr>
        <w:t>other relevant</w:t>
      </w:r>
      <w:r>
        <w:rPr>
          <w:spacing w:val="52"/>
        </w:rPr>
        <w:t> </w:t>
      </w:r>
      <w:r>
        <w:rPr>
          <w:spacing w:val="-4"/>
        </w:rPr>
        <w:t>Racing Australia registration </w:t>
      </w:r>
      <w:r>
        <w:rPr/>
        <w:t>form in </w:t>
      </w:r>
      <w:r>
        <w:rPr>
          <w:spacing w:val="-4"/>
        </w:rPr>
        <w:t>respect </w:t>
      </w:r>
      <w:r>
        <w:rPr/>
        <w:t>of </w:t>
      </w:r>
      <w:r>
        <w:rPr>
          <w:spacing w:val="-3"/>
        </w:rPr>
        <w:t>either </w:t>
      </w:r>
      <w:r>
        <w:rPr/>
        <w:t>a </w:t>
      </w:r>
      <w:r>
        <w:rPr>
          <w:spacing w:val="-4"/>
        </w:rPr>
        <w:t>Syndicate </w:t>
      </w:r>
      <w:r>
        <w:rPr/>
        <w:t>registered </w:t>
      </w:r>
      <w:r>
        <w:rPr>
          <w:spacing w:val="-3"/>
        </w:rPr>
        <w:t>with </w:t>
      </w:r>
      <w:r>
        <w:rPr/>
        <w:t>a PRA or </w:t>
      </w:r>
      <w:r>
        <w:rPr>
          <w:spacing w:val="-4"/>
        </w:rPr>
        <w:t>Racing Australia, </w:t>
      </w:r>
      <w:r>
        <w:rPr/>
        <w:t>or a </w:t>
      </w:r>
      <w:r>
        <w:rPr>
          <w:spacing w:val="-4"/>
        </w:rPr>
        <w:t>Syndicate which </w:t>
      </w:r>
      <w:r>
        <w:rPr/>
        <w:t>is </w:t>
      </w:r>
      <w:r>
        <w:rPr>
          <w:spacing w:val="-4"/>
        </w:rPr>
        <w:t>subsequently registered </w:t>
      </w:r>
      <w:r>
        <w:rPr/>
        <w:t>as an </w:t>
      </w:r>
      <w:r>
        <w:rPr>
          <w:spacing w:val="-3"/>
        </w:rPr>
        <w:t>Owner </w:t>
      </w:r>
      <w:r>
        <w:rPr/>
        <w:t>or </w:t>
      </w:r>
      <w:r>
        <w:rPr>
          <w:spacing w:val="-4"/>
        </w:rPr>
        <w:t>Co-owner </w:t>
      </w:r>
      <w:r>
        <w:rPr/>
        <w:t>by </w:t>
      </w:r>
      <w:r>
        <w:rPr>
          <w:spacing w:val="-4"/>
        </w:rPr>
        <w:t>Racing</w:t>
      </w:r>
      <w:r>
        <w:rPr>
          <w:spacing w:val="52"/>
        </w:rPr>
        <w:t> </w:t>
      </w:r>
      <w:r>
        <w:rPr>
          <w:spacing w:val="-4"/>
        </w:rPr>
        <w:t>Australia.</w:t>
      </w:r>
    </w:p>
    <w:p>
      <w:pPr>
        <w:spacing w:before="183"/>
        <w:ind w:left="319" w:right="235" w:firstLine="0"/>
        <w:jc w:val="both"/>
        <w:rPr>
          <w:sz w:val="22"/>
        </w:rPr>
      </w:pPr>
      <w:r>
        <w:rPr>
          <w:b/>
          <w:sz w:val="22"/>
        </w:rPr>
        <w:t>Syndicate Ownership Interest </w:t>
      </w:r>
      <w:r>
        <w:rPr>
          <w:sz w:val="22"/>
        </w:rPr>
        <w:t>means an Owner’s interest registered in the name of a Syndicate registered with a PRA or Racing</w:t>
      </w:r>
      <w:r>
        <w:rPr>
          <w:spacing w:val="-18"/>
          <w:sz w:val="22"/>
        </w:rPr>
        <w:t> </w:t>
      </w:r>
      <w:r>
        <w:rPr>
          <w:sz w:val="22"/>
        </w:rPr>
        <w:t>Australia.</w:t>
      </w:r>
    </w:p>
    <w:p>
      <w:pPr>
        <w:spacing w:before="183"/>
        <w:ind w:left="319" w:right="240" w:firstLine="0"/>
        <w:jc w:val="both"/>
        <w:rPr>
          <w:sz w:val="22"/>
        </w:rPr>
      </w:pPr>
      <w:r>
        <w:rPr>
          <w:b/>
          <w:w w:val="105"/>
          <w:sz w:val="22"/>
        </w:rPr>
        <w:t>TOR Commencement Date </w:t>
      </w:r>
      <w:r>
        <w:rPr>
          <w:w w:val="105"/>
          <w:sz w:val="22"/>
        </w:rPr>
        <w:t>means 1 August 2017 or another date notified by Racing</w:t>
      </w:r>
      <w:r>
        <w:rPr>
          <w:spacing w:val="63"/>
          <w:w w:val="105"/>
          <w:sz w:val="22"/>
        </w:rPr>
        <w:t> </w:t>
      </w:r>
      <w:r>
        <w:rPr>
          <w:w w:val="105"/>
          <w:sz w:val="22"/>
        </w:rPr>
        <w:t>Australia.</w:t>
      </w:r>
    </w:p>
    <w:p>
      <w:pPr>
        <w:pStyle w:val="BodyText"/>
        <w:spacing w:before="180"/>
        <w:ind w:left="302" w:right="306"/>
        <w:jc w:val="both"/>
      </w:pPr>
      <w:r>
        <w:rPr>
          <w:b/>
          <w:spacing w:val="-3"/>
        </w:rPr>
        <w:t>TOR Rules </w:t>
      </w:r>
      <w:r>
        <w:rPr>
          <w:spacing w:val="-3"/>
        </w:rPr>
        <w:t>means the rules set out </w:t>
      </w:r>
      <w:r>
        <w:rPr/>
        <w:t>in </w:t>
      </w:r>
      <w:r>
        <w:rPr>
          <w:spacing w:val="-4"/>
        </w:rPr>
        <w:t>Schedule </w:t>
      </w:r>
      <w:r>
        <w:rPr/>
        <w:t>1 to the </w:t>
      </w:r>
      <w:r>
        <w:rPr>
          <w:spacing w:val="-4"/>
        </w:rPr>
        <w:t>Australian Rules </w:t>
      </w:r>
      <w:r>
        <w:rPr>
          <w:spacing w:val="-3"/>
        </w:rPr>
        <w:t>of </w:t>
      </w:r>
      <w:r>
        <w:rPr>
          <w:spacing w:val="-4"/>
        </w:rPr>
        <w:t>Racing, </w:t>
      </w:r>
      <w:r>
        <w:rPr/>
        <w:t>as </w:t>
      </w:r>
      <w:r>
        <w:rPr>
          <w:spacing w:val="-4"/>
        </w:rPr>
        <w:t>amended </w:t>
      </w:r>
      <w:r>
        <w:rPr>
          <w:spacing w:val="-3"/>
        </w:rPr>
        <w:t>from time </w:t>
      </w:r>
      <w:r>
        <w:rPr/>
        <w:t>to </w:t>
      </w:r>
      <w:r>
        <w:rPr>
          <w:spacing w:val="-3"/>
        </w:rPr>
        <w:t>time.</w:t>
      </w:r>
    </w:p>
    <w:p>
      <w:pPr>
        <w:pStyle w:val="BodyText"/>
        <w:spacing w:before="176"/>
        <w:ind w:left="319" w:right="236"/>
        <w:jc w:val="both"/>
      </w:pPr>
      <w:r>
        <w:rPr>
          <w:b/>
          <w:w w:val="105"/>
        </w:rPr>
        <w:t>Trainer </w:t>
      </w:r>
      <w:r>
        <w:rPr>
          <w:w w:val="105"/>
        </w:rPr>
        <w:t>means any individual, corporation, trust or partnership operating a business which is licensed by a PRA to train horses under the Rules of Racing.</w:t>
      </w:r>
    </w:p>
    <w:p>
      <w:pPr>
        <w:pStyle w:val="BodyText"/>
        <w:spacing w:before="183"/>
        <w:ind w:left="302" w:right="305"/>
        <w:jc w:val="both"/>
      </w:pPr>
      <w:r>
        <w:rPr>
          <w:b/>
        </w:rPr>
        <w:t>Trainer and Owner Reforms </w:t>
      </w:r>
      <w:r>
        <w:rPr/>
        <w:t>(</w:t>
      </w:r>
      <w:r>
        <w:rPr>
          <w:b/>
        </w:rPr>
        <w:t>TOR</w:t>
      </w:r>
      <w:r>
        <w:rPr/>
        <w:t>) means the Racing Australia reforms comprising the TOR Rules, and the arrangements between Trainers and Owners and between Co-owners, commencing on the TOR Commencement Date.</w:t>
      </w:r>
    </w:p>
    <w:p>
      <w:pPr>
        <w:pStyle w:val="BodyText"/>
        <w:spacing w:before="93"/>
        <w:ind w:left="302"/>
      </w:pPr>
      <w:r>
        <w:rPr>
          <w:b/>
          <w:spacing w:val="-3"/>
        </w:rPr>
        <w:t>Training </w:t>
      </w:r>
      <w:r>
        <w:rPr>
          <w:b/>
          <w:spacing w:val="-4"/>
        </w:rPr>
        <w:t>Disputes Tribunal </w:t>
      </w:r>
      <w:r>
        <w:rPr>
          <w:spacing w:val="-4"/>
        </w:rPr>
        <w:t>(</w:t>
      </w:r>
      <w:r>
        <w:rPr>
          <w:b/>
          <w:spacing w:val="-4"/>
        </w:rPr>
        <w:t>TDT</w:t>
      </w:r>
      <w:r>
        <w:rPr>
          <w:spacing w:val="-4"/>
        </w:rPr>
        <w:t>) </w:t>
      </w:r>
      <w:r>
        <w:rPr/>
        <w:t>is a </w:t>
      </w:r>
      <w:r>
        <w:rPr>
          <w:spacing w:val="-4"/>
        </w:rPr>
        <w:t>decision </w:t>
      </w:r>
      <w:r>
        <w:rPr/>
        <w:t>making body set up by each PRA in each of the </w:t>
      </w:r>
      <w:r>
        <w:rPr>
          <w:spacing w:val="-4"/>
        </w:rPr>
        <w:t>States and/or Territories </w:t>
      </w:r>
      <w:r>
        <w:rPr/>
        <w:t>of </w:t>
      </w:r>
      <w:r>
        <w:rPr>
          <w:spacing w:val="-4"/>
        </w:rPr>
        <w:t>Australia </w:t>
      </w:r>
      <w:r>
        <w:rPr/>
        <w:t>to </w:t>
      </w:r>
      <w:r>
        <w:rPr>
          <w:spacing w:val="-4"/>
        </w:rPr>
        <w:t>determine disputes </w:t>
      </w:r>
      <w:r>
        <w:rPr/>
        <w:t>in </w:t>
      </w:r>
      <w:r>
        <w:rPr>
          <w:spacing w:val="-4"/>
        </w:rPr>
        <w:t>relation </w:t>
      </w:r>
      <w:r>
        <w:rPr/>
        <w:t>to the provision of Training Services, as </w:t>
      </w:r>
      <w:r>
        <w:rPr>
          <w:spacing w:val="-4"/>
        </w:rPr>
        <w:t>provided </w:t>
      </w:r>
      <w:r>
        <w:rPr/>
        <w:t>for in the TOR </w:t>
      </w:r>
      <w:r>
        <w:rPr>
          <w:spacing w:val="-4"/>
        </w:rPr>
        <w:t>Rules </w:t>
      </w:r>
      <w:r>
        <w:rPr/>
        <w:t>and the STA.</w:t>
      </w:r>
    </w:p>
    <w:p>
      <w:pPr>
        <w:pStyle w:val="BodyText"/>
        <w:spacing w:before="180"/>
        <w:ind w:left="319" w:right="224"/>
        <w:jc w:val="both"/>
      </w:pPr>
      <w:r>
        <w:rPr>
          <w:b/>
          <w:w w:val="105"/>
        </w:rPr>
        <w:t>Training Services </w:t>
      </w:r>
      <w:r>
        <w:rPr>
          <w:w w:val="105"/>
        </w:rPr>
        <w:t>means all the services provided by a Trainer (or qualified and authorised employees of the Trainer or persons engaged as contractors or otherwise by the Trainer) in relation to the care, training and/or racing of the Horse including: training, pre-training, rehabilitation, maintenance, stabling, feeding, exercising, freighting, agisting, rental of gear, and the provision of veterinary, chiropractic, acupuncture, dental, and farrier services and treatments.</w:t>
      </w:r>
    </w:p>
    <w:p>
      <w:pPr>
        <w:pStyle w:val="BodyText"/>
        <w:spacing w:before="136"/>
        <w:ind w:left="319" w:right="226"/>
        <w:jc w:val="both"/>
      </w:pPr>
      <w:r>
        <w:rPr>
          <w:b/>
          <w:w w:val="105"/>
        </w:rPr>
        <w:t>Unanimous</w:t>
      </w:r>
      <w:r>
        <w:rPr>
          <w:b/>
          <w:spacing w:val="-10"/>
          <w:w w:val="105"/>
        </w:rPr>
        <w:t> </w:t>
      </w:r>
      <w:r>
        <w:rPr>
          <w:b/>
          <w:w w:val="105"/>
        </w:rPr>
        <w:t>Consent</w:t>
      </w:r>
      <w:r>
        <w:rPr>
          <w:b/>
          <w:spacing w:val="-8"/>
          <w:w w:val="105"/>
        </w:rPr>
        <w:t> </w:t>
      </w:r>
      <w:r>
        <w:rPr>
          <w:w w:val="105"/>
        </w:rPr>
        <w:t>means</w:t>
      </w:r>
      <w:r>
        <w:rPr>
          <w:spacing w:val="-6"/>
          <w:w w:val="105"/>
        </w:rPr>
        <w:t> </w:t>
      </w:r>
      <w:r>
        <w:rPr>
          <w:w w:val="105"/>
        </w:rPr>
        <w:t>the</w:t>
      </w:r>
      <w:r>
        <w:rPr>
          <w:spacing w:val="-10"/>
          <w:w w:val="105"/>
        </w:rPr>
        <w:t> </w:t>
      </w:r>
      <w:r>
        <w:rPr>
          <w:w w:val="105"/>
        </w:rPr>
        <w:t>consent</w:t>
      </w:r>
      <w:r>
        <w:rPr>
          <w:spacing w:val="-8"/>
          <w:w w:val="105"/>
        </w:rPr>
        <w:t> </w:t>
      </w:r>
      <w:r>
        <w:rPr>
          <w:w w:val="105"/>
        </w:rPr>
        <w:t>or</w:t>
      </w:r>
      <w:r>
        <w:rPr>
          <w:spacing w:val="-9"/>
          <w:w w:val="105"/>
        </w:rPr>
        <w:t> </w:t>
      </w:r>
      <w:r>
        <w:rPr>
          <w:w w:val="105"/>
        </w:rPr>
        <w:t>approval</w:t>
      </w:r>
      <w:r>
        <w:rPr>
          <w:spacing w:val="-7"/>
          <w:w w:val="105"/>
        </w:rPr>
        <w:t> </w:t>
      </w:r>
      <w:r>
        <w:rPr>
          <w:w w:val="105"/>
        </w:rPr>
        <w:t>of</w:t>
      </w:r>
      <w:r>
        <w:rPr>
          <w:spacing w:val="-7"/>
          <w:w w:val="105"/>
        </w:rPr>
        <w:t> </w:t>
      </w:r>
      <w:r>
        <w:rPr>
          <w:w w:val="105"/>
        </w:rPr>
        <w:t>the</w:t>
      </w:r>
      <w:r>
        <w:rPr>
          <w:spacing w:val="-8"/>
          <w:w w:val="105"/>
        </w:rPr>
        <w:t> </w:t>
      </w:r>
      <w:r>
        <w:rPr>
          <w:w w:val="105"/>
        </w:rPr>
        <w:t>Co-owners</w:t>
      </w:r>
      <w:r>
        <w:rPr>
          <w:spacing w:val="-2"/>
          <w:w w:val="105"/>
        </w:rPr>
        <w:t> </w:t>
      </w:r>
      <w:r>
        <w:rPr>
          <w:w w:val="105"/>
        </w:rPr>
        <w:t>that</w:t>
      </w:r>
      <w:r>
        <w:rPr>
          <w:spacing w:val="-8"/>
          <w:w w:val="105"/>
        </w:rPr>
        <w:t> </w:t>
      </w:r>
      <w:r>
        <w:rPr>
          <w:w w:val="105"/>
        </w:rPr>
        <w:t>own</w:t>
      </w:r>
      <w:r>
        <w:rPr>
          <w:spacing w:val="-8"/>
          <w:w w:val="105"/>
        </w:rPr>
        <w:t> </w:t>
      </w:r>
      <w:r>
        <w:rPr>
          <w:w w:val="105"/>
        </w:rPr>
        <w:t>100%</w:t>
      </w:r>
      <w:r>
        <w:rPr>
          <w:spacing w:val="-7"/>
          <w:w w:val="105"/>
        </w:rPr>
        <w:t> </w:t>
      </w:r>
      <w:r>
        <w:rPr>
          <w:w w:val="105"/>
        </w:rPr>
        <w:t>of</w:t>
      </w:r>
      <w:r>
        <w:rPr>
          <w:spacing w:val="-9"/>
          <w:w w:val="105"/>
        </w:rPr>
        <w:t> </w:t>
      </w:r>
      <w:r>
        <w:rPr>
          <w:w w:val="105"/>
        </w:rPr>
        <w:t>the aggregate ownership of the Horse, as agreed at a meeting of the Co-owners convened pursuant to clause 2.3 of this Agreement or as evidenced in writing including by letter, email, facsimile, signed written consent document or other means. A written consent document may be signed in and comprise</w:t>
      </w:r>
      <w:r>
        <w:rPr>
          <w:spacing w:val="-28"/>
          <w:w w:val="105"/>
        </w:rPr>
        <w:t> </w:t>
      </w:r>
      <w:r>
        <w:rPr>
          <w:w w:val="105"/>
        </w:rPr>
        <w:t>counterparts.</w:t>
      </w:r>
    </w:p>
    <w:sectPr>
      <w:pgSz w:w="11900" w:h="16860"/>
      <w:pgMar w:header="0" w:footer="761" w:top="1060" w:bottom="1020" w:left="9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289.549988pt;margin-top:789.885803pt;width:16.25pt;height:14.35pt;mso-position-horizontal-relative:page;mso-position-vertical-relative:page;z-index:-14536" type="#_x0000_t202" filled="false" stroked="false">
          <v:textbox inset="0,0,0,0">
            <w:txbxContent>
              <w:p>
                <w:pPr>
                  <w:pStyle w:val="BodyText"/>
                  <w:spacing w:before="13"/>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6" w:hanging="567"/>
        <w:jc w:val="left"/>
      </w:pPr>
      <w:rPr>
        <w:rFonts w:hint="default" w:ascii="Arial" w:hAnsi="Arial" w:eastAsia="Arial" w:cs="Arial"/>
        <w:b/>
        <w:bCs/>
        <w:spacing w:val="-1"/>
        <w:w w:val="100"/>
        <w:sz w:val="22"/>
        <w:szCs w:val="22"/>
        <w:lang w:val="en-au" w:eastAsia="en-au" w:bidi="en-au"/>
      </w:rPr>
    </w:lvl>
    <w:lvl w:ilvl="1">
      <w:start w:val="1"/>
      <w:numFmt w:val="decimal"/>
      <w:lvlText w:val="%1.%2"/>
      <w:lvlJc w:val="left"/>
      <w:pPr>
        <w:ind w:left="907" w:hanging="567"/>
        <w:jc w:val="left"/>
      </w:pPr>
      <w:rPr>
        <w:rFonts w:hint="default" w:ascii="Arial" w:hAnsi="Arial" w:eastAsia="Arial" w:cs="Arial"/>
        <w:spacing w:val="-3"/>
        <w:w w:val="100"/>
        <w:sz w:val="22"/>
        <w:szCs w:val="22"/>
        <w:lang w:val="en-au" w:eastAsia="en-au" w:bidi="en-au"/>
      </w:rPr>
    </w:lvl>
    <w:lvl w:ilvl="2">
      <w:start w:val="1"/>
      <w:numFmt w:val="lowerLetter"/>
      <w:lvlText w:val="(%3)"/>
      <w:lvlJc w:val="left"/>
      <w:pPr>
        <w:ind w:left="1476" w:hanging="569"/>
        <w:jc w:val="left"/>
      </w:pPr>
      <w:rPr>
        <w:rFonts w:hint="default" w:ascii="Arial" w:hAnsi="Arial" w:eastAsia="Arial" w:cs="Arial"/>
        <w:spacing w:val="-3"/>
        <w:w w:val="100"/>
        <w:sz w:val="22"/>
        <w:szCs w:val="22"/>
        <w:lang w:val="en-au" w:eastAsia="en-au" w:bidi="en-au"/>
      </w:rPr>
    </w:lvl>
    <w:lvl w:ilvl="3">
      <w:start w:val="1"/>
      <w:numFmt w:val="lowerRoman"/>
      <w:lvlText w:val="(%4)"/>
      <w:lvlJc w:val="left"/>
      <w:pPr>
        <w:ind w:left="1738" w:hanging="286"/>
        <w:jc w:val="left"/>
      </w:pPr>
      <w:rPr>
        <w:rFonts w:hint="default" w:ascii="Arial" w:hAnsi="Arial" w:eastAsia="Arial" w:cs="Arial"/>
        <w:w w:val="105"/>
        <w:sz w:val="22"/>
        <w:szCs w:val="22"/>
        <w:lang w:val="en-au" w:eastAsia="en-au" w:bidi="en-au"/>
      </w:rPr>
    </w:lvl>
    <w:lvl w:ilvl="4">
      <w:start w:val="0"/>
      <w:numFmt w:val="bullet"/>
      <w:lvlText w:val="•"/>
      <w:lvlJc w:val="left"/>
      <w:pPr>
        <w:ind w:left="1740" w:hanging="286"/>
      </w:pPr>
      <w:rPr>
        <w:rFonts w:hint="default"/>
        <w:lang w:val="en-au" w:eastAsia="en-au" w:bidi="en-au"/>
      </w:rPr>
    </w:lvl>
    <w:lvl w:ilvl="5">
      <w:start w:val="0"/>
      <w:numFmt w:val="bullet"/>
      <w:lvlText w:val="•"/>
      <w:lvlJc w:val="left"/>
      <w:pPr>
        <w:ind w:left="3119" w:hanging="286"/>
      </w:pPr>
      <w:rPr>
        <w:rFonts w:hint="default"/>
        <w:lang w:val="en-au" w:eastAsia="en-au" w:bidi="en-au"/>
      </w:rPr>
    </w:lvl>
    <w:lvl w:ilvl="6">
      <w:start w:val="0"/>
      <w:numFmt w:val="bullet"/>
      <w:lvlText w:val="•"/>
      <w:lvlJc w:val="left"/>
      <w:pPr>
        <w:ind w:left="4499" w:hanging="286"/>
      </w:pPr>
      <w:rPr>
        <w:rFonts w:hint="default"/>
        <w:lang w:val="en-au" w:eastAsia="en-au" w:bidi="en-au"/>
      </w:rPr>
    </w:lvl>
    <w:lvl w:ilvl="7">
      <w:start w:val="0"/>
      <w:numFmt w:val="bullet"/>
      <w:lvlText w:val="•"/>
      <w:lvlJc w:val="left"/>
      <w:pPr>
        <w:ind w:left="5879" w:hanging="286"/>
      </w:pPr>
      <w:rPr>
        <w:rFonts w:hint="default"/>
        <w:lang w:val="en-au" w:eastAsia="en-au" w:bidi="en-au"/>
      </w:rPr>
    </w:lvl>
    <w:lvl w:ilvl="8">
      <w:start w:val="0"/>
      <w:numFmt w:val="bullet"/>
      <w:lvlText w:val="•"/>
      <w:lvlJc w:val="left"/>
      <w:pPr>
        <w:ind w:left="7259" w:hanging="286"/>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2"/>
      <w:szCs w:val="22"/>
      <w:lang w:val="en-au" w:eastAsia="en-au" w:bidi="en-au"/>
    </w:rPr>
  </w:style>
  <w:style w:styleId="Heading1" w:type="paragraph">
    <w:name w:val="Heading 1"/>
    <w:basedOn w:val="Normal"/>
    <w:uiPriority w:val="1"/>
    <w:qFormat/>
    <w:pPr>
      <w:spacing w:before="75"/>
      <w:ind w:left="2364"/>
      <w:outlineLvl w:val="1"/>
    </w:pPr>
    <w:rPr>
      <w:rFonts w:ascii="Arial" w:hAnsi="Arial" w:eastAsia="Arial" w:cs="Arial"/>
      <w:b/>
      <w:bCs/>
      <w:sz w:val="28"/>
      <w:szCs w:val="28"/>
      <w:lang w:val="en-au" w:eastAsia="en-au" w:bidi="en-au"/>
    </w:rPr>
  </w:style>
  <w:style w:styleId="Heading2" w:type="paragraph">
    <w:name w:val="Heading 2"/>
    <w:basedOn w:val="Normal"/>
    <w:uiPriority w:val="1"/>
    <w:qFormat/>
    <w:pPr>
      <w:ind w:left="886" w:hanging="567"/>
      <w:outlineLvl w:val="2"/>
    </w:pPr>
    <w:rPr>
      <w:rFonts w:ascii="Arial" w:hAnsi="Arial" w:eastAsia="Arial" w:cs="Arial"/>
      <w:b/>
      <w:bCs/>
      <w:sz w:val="22"/>
      <w:szCs w:val="22"/>
      <w:lang w:val="en-au" w:eastAsia="en-au" w:bidi="en-au"/>
    </w:rPr>
  </w:style>
  <w:style w:styleId="ListParagraph" w:type="paragraph">
    <w:name w:val="List Paragraph"/>
    <w:basedOn w:val="Normal"/>
    <w:uiPriority w:val="1"/>
    <w:qFormat/>
    <w:pPr>
      <w:ind w:left="1452" w:hanging="567"/>
      <w:jc w:val="both"/>
    </w:pPr>
    <w:rPr>
      <w:rFonts w:ascii="Arial" w:hAnsi="Arial" w:eastAsia="Arial" w:cs="Arial"/>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dcterms:created xsi:type="dcterms:W3CDTF">2018-08-08T23:56:51Z</dcterms:created>
  <dcterms:modified xsi:type="dcterms:W3CDTF">2018-08-08T23:56:51Z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2018-08-08T00:00:00Z</vt:filetime>
  </property>
</Properties>
</file>